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E293D4" w14:textId="6905D379" w:rsidR="00AB3AF4" w:rsidRPr="00AB3AF4" w:rsidRDefault="0098250D" w:rsidP="00AB3AF4">
      <w:pPr>
        <w:tabs>
          <w:tab w:val="left" w:pos="2160"/>
        </w:tabs>
        <w:spacing w:after="0"/>
        <w:rPr>
          <w:rFonts w:ascii="Arial" w:hAnsi="Arial" w:cs="Arial"/>
          <w:b/>
          <w:sz w:val="24"/>
        </w:rPr>
      </w:pPr>
      <w:bookmarkStart w:id="0" w:name="historyclause"/>
      <w:r w:rsidRPr="0098250D">
        <w:rPr>
          <w:rFonts w:ascii="Arial" w:hAnsi="Arial" w:cs="Arial"/>
          <w:b/>
          <w:sz w:val="24"/>
        </w:rPr>
        <w:t>3GPP RAN WG4 Meeting #1</w:t>
      </w:r>
      <w:r w:rsidR="00A814E0">
        <w:rPr>
          <w:rFonts w:ascii="Arial" w:hAnsi="Arial" w:cs="Arial"/>
          <w:b/>
          <w:sz w:val="24"/>
        </w:rPr>
        <w:t>1</w:t>
      </w:r>
      <w:r w:rsidR="005F1C45">
        <w:rPr>
          <w:rFonts w:ascii="Arial" w:hAnsi="Arial" w:cs="Arial"/>
          <w:b/>
          <w:sz w:val="24"/>
        </w:rPr>
        <w:t>4</w:t>
      </w:r>
      <w:r w:rsidR="00AB3AF4" w:rsidRPr="00AB3AF4">
        <w:rPr>
          <w:rFonts w:ascii="Arial" w:hAnsi="Arial" w:cs="Arial"/>
          <w:b/>
          <w:sz w:val="24"/>
        </w:rPr>
        <w:tab/>
      </w:r>
      <w:r w:rsidR="00AB3AF4">
        <w:rPr>
          <w:rFonts w:ascii="Arial" w:hAnsi="Arial" w:cs="Arial"/>
          <w:b/>
          <w:sz w:val="24"/>
        </w:rPr>
        <w:tab/>
      </w:r>
      <w:r w:rsidR="00AB3AF4">
        <w:rPr>
          <w:rFonts w:ascii="Arial" w:hAnsi="Arial" w:cs="Arial"/>
          <w:b/>
          <w:sz w:val="24"/>
        </w:rPr>
        <w:tab/>
      </w:r>
      <w:r w:rsidR="00AB3AF4">
        <w:rPr>
          <w:rFonts w:ascii="Arial" w:hAnsi="Arial" w:cs="Arial"/>
          <w:b/>
          <w:sz w:val="24"/>
        </w:rPr>
        <w:tab/>
      </w:r>
      <w:r w:rsidR="00A814E0">
        <w:rPr>
          <w:rFonts w:ascii="Arial" w:hAnsi="Arial" w:cs="Arial"/>
          <w:b/>
          <w:sz w:val="24"/>
        </w:rPr>
        <w:tab/>
      </w:r>
      <w:r w:rsidR="00AB3AF4">
        <w:rPr>
          <w:rFonts w:ascii="Arial" w:hAnsi="Arial" w:cs="Arial"/>
          <w:b/>
          <w:sz w:val="24"/>
        </w:rPr>
        <w:tab/>
      </w:r>
      <w:r w:rsidR="00AB3AF4">
        <w:rPr>
          <w:rFonts w:ascii="Arial" w:hAnsi="Arial" w:cs="Arial"/>
          <w:b/>
          <w:sz w:val="24"/>
        </w:rPr>
        <w:tab/>
      </w:r>
      <w:r w:rsidR="00AB3AF4">
        <w:rPr>
          <w:rFonts w:ascii="Arial" w:hAnsi="Arial" w:cs="Arial"/>
          <w:b/>
          <w:sz w:val="24"/>
        </w:rPr>
        <w:tab/>
      </w:r>
      <w:r w:rsidR="00AB3AF4">
        <w:rPr>
          <w:rFonts w:ascii="Arial" w:hAnsi="Arial" w:cs="Arial"/>
          <w:b/>
          <w:sz w:val="24"/>
        </w:rPr>
        <w:tab/>
      </w:r>
      <w:r w:rsidR="00AB3AF4">
        <w:rPr>
          <w:rFonts w:ascii="Arial" w:hAnsi="Arial" w:cs="Arial"/>
          <w:b/>
          <w:sz w:val="24"/>
        </w:rPr>
        <w:tab/>
      </w:r>
      <w:r w:rsidR="00AB3AF4">
        <w:rPr>
          <w:rFonts w:ascii="Arial" w:hAnsi="Arial" w:cs="Arial"/>
          <w:b/>
          <w:sz w:val="24"/>
        </w:rPr>
        <w:tab/>
      </w:r>
      <w:r w:rsidR="00AB3AF4">
        <w:rPr>
          <w:rFonts w:ascii="Arial" w:hAnsi="Arial" w:cs="Arial"/>
          <w:b/>
          <w:sz w:val="24"/>
        </w:rPr>
        <w:tab/>
      </w:r>
      <w:r w:rsidR="00AB3AF4">
        <w:rPr>
          <w:rFonts w:ascii="Arial" w:hAnsi="Arial" w:cs="Arial"/>
          <w:b/>
          <w:sz w:val="24"/>
        </w:rPr>
        <w:tab/>
      </w:r>
      <w:r w:rsidR="00AB3AF4">
        <w:rPr>
          <w:rFonts w:ascii="Arial" w:hAnsi="Arial" w:cs="Arial"/>
          <w:b/>
          <w:sz w:val="24"/>
        </w:rPr>
        <w:tab/>
      </w:r>
      <w:r w:rsidR="00AB3AF4">
        <w:rPr>
          <w:rFonts w:ascii="Arial" w:hAnsi="Arial" w:cs="Arial"/>
          <w:b/>
          <w:sz w:val="24"/>
        </w:rPr>
        <w:tab/>
      </w:r>
      <w:r w:rsidR="00AB3AF4">
        <w:rPr>
          <w:rFonts w:ascii="Arial" w:hAnsi="Arial" w:cs="Arial"/>
          <w:b/>
          <w:sz w:val="24"/>
        </w:rPr>
        <w:tab/>
      </w:r>
      <w:r w:rsidR="00AB3AF4">
        <w:rPr>
          <w:rFonts w:ascii="Arial" w:hAnsi="Arial" w:cs="Arial"/>
          <w:b/>
          <w:sz w:val="24"/>
        </w:rPr>
        <w:tab/>
      </w:r>
      <w:r w:rsidR="001940B8" w:rsidRPr="001940B8">
        <w:rPr>
          <w:rFonts w:ascii="Arial" w:hAnsi="Arial" w:cs="Arial"/>
          <w:b/>
          <w:sz w:val="24"/>
        </w:rPr>
        <w:t>R4-2500291</w:t>
      </w:r>
    </w:p>
    <w:p w14:paraId="5B9CF4B1" w14:textId="614A0EC7" w:rsidR="00BD6168" w:rsidRDefault="005F1C45" w:rsidP="00E27B54">
      <w:pPr>
        <w:tabs>
          <w:tab w:val="left" w:pos="2160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Athens</w:t>
      </w:r>
      <w:r w:rsidR="0098250D" w:rsidRPr="0098250D">
        <w:rPr>
          <w:rFonts w:ascii="Arial" w:hAnsi="Arial" w:cs="Arial"/>
          <w:b/>
          <w:sz w:val="24"/>
        </w:rPr>
        <w:t xml:space="preserve">, </w:t>
      </w:r>
      <w:r>
        <w:rPr>
          <w:rFonts w:ascii="Arial" w:hAnsi="Arial" w:cs="Arial"/>
          <w:b/>
          <w:sz w:val="24"/>
        </w:rPr>
        <w:t>Greece</w:t>
      </w:r>
      <w:r w:rsidR="0098250D" w:rsidRPr="0098250D">
        <w:rPr>
          <w:rFonts w:ascii="Arial" w:hAnsi="Arial" w:cs="Arial"/>
          <w:b/>
          <w:sz w:val="24"/>
        </w:rPr>
        <w:t xml:space="preserve">, </w:t>
      </w:r>
      <w:r w:rsidR="00A814E0">
        <w:rPr>
          <w:rFonts w:ascii="Arial" w:hAnsi="Arial" w:cs="Arial"/>
          <w:b/>
          <w:sz w:val="24"/>
        </w:rPr>
        <w:t>1</w:t>
      </w:r>
      <w:r>
        <w:rPr>
          <w:rFonts w:ascii="Arial" w:hAnsi="Arial" w:cs="Arial"/>
          <w:b/>
          <w:sz w:val="24"/>
        </w:rPr>
        <w:t>7</w:t>
      </w:r>
      <w:r w:rsidR="000A7A0F" w:rsidRPr="000A7A0F">
        <w:rPr>
          <w:rFonts w:ascii="Arial" w:hAnsi="Arial" w:cs="Arial"/>
          <w:b/>
          <w:sz w:val="24"/>
        </w:rPr>
        <w:t xml:space="preserve">th – </w:t>
      </w:r>
      <w:r w:rsidR="00A814E0">
        <w:rPr>
          <w:rFonts w:ascii="Arial" w:hAnsi="Arial" w:cs="Arial"/>
          <w:b/>
          <w:sz w:val="24"/>
        </w:rPr>
        <w:t>2</w:t>
      </w:r>
      <w:r>
        <w:rPr>
          <w:rFonts w:ascii="Arial" w:hAnsi="Arial" w:cs="Arial"/>
          <w:b/>
          <w:sz w:val="24"/>
        </w:rPr>
        <w:t>1st</w:t>
      </w:r>
      <w:r w:rsidR="000A7A0F" w:rsidRPr="000A7A0F">
        <w:rPr>
          <w:rFonts w:ascii="Arial" w:hAnsi="Arial" w:cs="Arial"/>
          <w:b/>
          <w:sz w:val="24"/>
        </w:rPr>
        <w:t xml:space="preserve"> </w:t>
      </w:r>
      <w:r>
        <w:rPr>
          <w:rFonts w:ascii="Arial" w:hAnsi="Arial" w:cs="Arial"/>
          <w:b/>
          <w:sz w:val="24"/>
        </w:rPr>
        <w:t>February</w:t>
      </w:r>
      <w:r w:rsidR="000A7A0F" w:rsidRPr="000A7A0F">
        <w:rPr>
          <w:rFonts w:ascii="Arial" w:hAnsi="Arial" w:cs="Arial"/>
          <w:b/>
          <w:sz w:val="24"/>
        </w:rPr>
        <w:t xml:space="preserve"> 202</w:t>
      </w:r>
      <w:r>
        <w:rPr>
          <w:rFonts w:ascii="Arial" w:hAnsi="Arial" w:cs="Arial"/>
          <w:b/>
          <w:sz w:val="24"/>
        </w:rPr>
        <w:t>5</w:t>
      </w:r>
    </w:p>
    <w:p w14:paraId="1492F949" w14:textId="77777777" w:rsidR="00DF67C5" w:rsidRDefault="00DF67C5" w:rsidP="00E27B54">
      <w:pPr>
        <w:tabs>
          <w:tab w:val="left" w:pos="2160"/>
        </w:tabs>
        <w:rPr>
          <w:rFonts w:ascii="Arial" w:hAnsi="Arial" w:cs="Arial"/>
          <w:b/>
        </w:rPr>
      </w:pPr>
    </w:p>
    <w:p w14:paraId="6DDCE159" w14:textId="77C16882" w:rsidR="00D309CC" w:rsidRPr="006C351C" w:rsidRDefault="00D309CC" w:rsidP="000A7A0F">
      <w:pPr>
        <w:pStyle w:val="CH"/>
        <w:ind w:left="2260" w:hanging="2260"/>
        <w:rPr>
          <w:b w:val="0"/>
        </w:rPr>
      </w:pPr>
      <w:r w:rsidRPr="0008103A">
        <w:t>Agenda item:</w:t>
      </w:r>
      <w:r>
        <w:tab/>
      </w:r>
      <w:r w:rsidR="00C27A92">
        <w:t>6.18.2</w:t>
      </w:r>
    </w:p>
    <w:p w14:paraId="4DBE005A" w14:textId="30CE7A7B" w:rsidR="00D309CC" w:rsidRPr="006C351C" w:rsidRDefault="00D309CC" w:rsidP="00E27B54">
      <w:pPr>
        <w:pStyle w:val="CH"/>
        <w:rPr>
          <w:b w:val="0"/>
        </w:rPr>
      </w:pPr>
      <w:r w:rsidRPr="006C351C">
        <w:t>Source:</w:t>
      </w:r>
      <w:r w:rsidRPr="006C351C">
        <w:tab/>
      </w:r>
      <w:r w:rsidR="00881CD6" w:rsidRPr="00881CD6">
        <w:t>Apple</w:t>
      </w:r>
    </w:p>
    <w:p w14:paraId="0D2061A1" w14:textId="7FA7B932" w:rsidR="00D309CC" w:rsidRPr="006C351C" w:rsidRDefault="00D309CC" w:rsidP="003F59B1">
      <w:pPr>
        <w:pStyle w:val="CH"/>
        <w:ind w:left="2260" w:hanging="2260"/>
      </w:pPr>
      <w:r w:rsidRPr="006C351C">
        <w:t>Title:</w:t>
      </w:r>
      <w:r w:rsidRPr="006C351C">
        <w:tab/>
      </w:r>
      <w:r w:rsidR="005F1C45">
        <w:t>Further input on</w:t>
      </w:r>
      <w:r w:rsidR="00A814E0">
        <w:t xml:space="preserve"> </w:t>
      </w:r>
      <w:r w:rsidR="00CD5226" w:rsidRPr="00CD5226">
        <w:t>UE power back-off while operating in 2000-2020 MHz UL range</w:t>
      </w:r>
      <w:r w:rsidR="00A814E0">
        <w:t xml:space="preserve"> of the NTN band n252</w:t>
      </w:r>
    </w:p>
    <w:p w14:paraId="052B1E0C" w14:textId="67505818" w:rsidR="00104BC6" w:rsidRPr="00D867DB" w:rsidRDefault="00104BC6" w:rsidP="00E27B54">
      <w:pPr>
        <w:pStyle w:val="CH"/>
        <w:rPr>
          <w:lang w:val="en-DE"/>
        </w:rPr>
      </w:pPr>
      <w:r w:rsidRPr="002A4457">
        <w:t>WI/SI:</w:t>
      </w:r>
      <w:r w:rsidRPr="002A4457">
        <w:tab/>
      </w:r>
      <w:r w:rsidR="00CD5226" w:rsidRPr="00CD5226">
        <w:rPr>
          <w:lang w:val="en-DE"/>
        </w:rPr>
        <w:t>NR_NTN_Sband-Core</w:t>
      </w:r>
    </w:p>
    <w:p w14:paraId="6C6D1281" w14:textId="4A0DE0A1" w:rsidR="00104BC6" w:rsidRPr="006C351C" w:rsidRDefault="00104BC6" w:rsidP="00E27B54">
      <w:pPr>
        <w:pStyle w:val="CH"/>
        <w:rPr>
          <w:b w:val="0"/>
        </w:rPr>
      </w:pPr>
      <w:r w:rsidRPr="006C351C">
        <w:t>Release:</w:t>
      </w:r>
      <w:r w:rsidRPr="006C351C">
        <w:tab/>
        <w:t>Rel-</w:t>
      </w:r>
      <w:r w:rsidR="002A79F8" w:rsidRPr="006C351C">
        <w:t>1</w:t>
      </w:r>
      <w:r w:rsidR="003F59B1">
        <w:t>9</w:t>
      </w:r>
    </w:p>
    <w:p w14:paraId="00DB0B4B" w14:textId="1520151C" w:rsidR="00FC371C" w:rsidRDefault="00D309CC" w:rsidP="00E27B54">
      <w:pPr>
        <w:pStyle w:val="CH"/>
      </w:pPr>
      <w:r w:rsidRPr="006C351C">
        <w:t>Document for:</w:t>
      </w:r>
      <w:r w:rsidRPr="006C351C">
        <w:tab/>
      </w:r>
      <w:r w:rsidR="00C77A33" w:rsidRPr="00C77A33">
        <w:t>Decision</w:t>
      </w:r>
    </w:p>
    <w:p w14:paraId="6B5BDE59" w14:textId="77777777" w:rsidR="00171755" w:rsidRPr="00171755" w:rsidRDefault="00171755" w:rsidP="00E27B54">
      <w:pPr>
        <w:pStyle w:val="CH"/>
      </w:pPr>
    </w:p>
    <w:p w14:paraId="0273524A" w14:textId="48BBA82E" w:rsidR="008E7986" w:rsidRDefault="008E7986" w:rsidP="00E27B54">
      <w:pPr>
        <w:pStyle w:val="Heading1"/>
        <w:keepNext w:val="0"/>
        <w:keepLines w:val="0"/>
      </w:pPr>
      <w:r>
        <w:t>1</w:t>
      </w:r>
      <w:r>
        <w:tab/>
      </w:r>
      <w:r w:rsidRPr="004D3578">
        <w:t>Introduction</w:t>
      </w:r>
      <w:r>
        <w:t xml:space="preserve"> </w:t>
      </w:r>
    </w:p>
    <w:p w14:paraId="7D22476C" w14:textId="77777777" w:rsidR="00CD5226" w:rsidRDefault="00FF5898" w:rsidP="00966007">
      <w:pPr>
        <w:jc w:val="both"/>
      </w:pPr>
      <w:r>
        <w:t xml:space="preserve">After the RAN#86 meeting, the Rel-17 WI was approved that aimed at enabling the 5G/NR radio access technology for non-terrestrial satellite deployments </w:t>
      </w:r>
      <w:r>
        <w:fldChar w:fldCharType="begin"/>
      </w:r>
      <w:r>
        <w:instrText xml:space="preserve"> REF _Ref13820109 \r \h </w:instrText>
      </w:r>
      <w:r>
        <w:fldChar w:fldCharType="separate"/>
      </w:r>
      <w:r>
        <w:t>[1]</w:t>
      </w:r>
      <w:r>
        <w:fldChar w:fldCharType="end"/>
      </w:r>
      <w:r>
        <w:t xml:space="preserve">. </w:t>
      </w:r>
      <w:r w:rsidRPr="00C110E5">
        <w:t xml:space="preserve">One of the WI objectives was to define and introduce the corresponding bands into the 3GPP specifications. The outcome of these discussions was two NTN bands – L-band and S-band – </w:t>
      </w:r>
      <w:r>
        <w:t>which</w:t>
      </w:r>
      <w:r w:rsidRPr="00C110E5">
        <w:t xml:space="preserve"> were added as bands n255 and n256, respectively</w:t>
      </w:r>
      <w:r>
        <w:t>, to the Rel-17 core specifications</w:t>
      </w:r>
      <w:r w:rsidRPr="00C110E5">
        <w:t xml:space="preserve">. </w:t>
      </w:r>
      <w:r>
        <w:t>However, already</w:t>
      </w:r>
      <w:r w:rsidR="00424A4D">
        <w:t xml:space="preserve"> at</w:t>
      </w:r>
      <w:r>
        <w:t xml:space="preserve"> that time it was noted that </w:t>
      </w:r>
      <w:r w:rsidRPr="00C110E5">
        <w:t>there exist other satellite deployments</w:t>
      </w:r>
      <w:r w:rsidR="005C6D6D">
        <w:t xml:space="preserve">. </w:t>
      </w:r>
      <w:r w:rsidR="005C6D6D" w:rsidRPr="00C110E5">
        <w:t>To limit the overall workload in Rel-17, it was decided by RAN WG4 to focus on L- and S-bands with the common understanding that other potential NTN bands should follow the "normal" process of submitting a new spectrum WI.</w:t>
      </w:r>
      <w:r w:rsidR="00A475ED">
        <w:t xml:space="preserve"> For instance</w:t>
      </w:r>
      <w:r w:rsidR="005C6D6D">
        <w:t xml:space="preserve">, </w:t>
      </w:r>
      <w:r w:rsidR="00A475ED">
        <w:t>after</w:t>
      </w:r>
      <w:r w:rsidR="005C6D6D">
        <w:t xml:space="preserve"> the RAN#98 meeting a new Rel-18 NTN spectrum WI was agreed with the objective of adding support for a new NTN band </w:t>
      </w:r>
      <w:r w:rsidR="0048636D">
        <w:t xml:space="preserve">(band n254) </w:t>
      </w:r>
      <w:r w:rsidR="005C6D6D">
        <w:t xml:space="preserve">where the UL is on the L-band and the DL is on the S-band </w:t>
      </w:r>
      <w:r w:rsidR="005C6D6D">
        <w:fldChar w:fldCharType="begin"/>
      </w:r>
      <w:r w:rsidR="005C6D6D">
        <w:instrText xml:space="preserve"> REF _Ref126142327 \r \h </w:instrText>
      </w:r>
      <w:r w:rsidR="00424A4D">
        <w:instrText xml:space="preserve"> \* MERGEFORMAT </w:instrText>
      </w:r>
      <w:r w:rsidR="005C6D6D">
        <w:fldChar w:fldCharType="separate"/>
      </w:r>
      <w:r w:rsidR="005C6D6D">
        <w:t>[2]</w:t>
      </w:r>
      <w:r w:rsidR="005C6D6D">
        <w:fldChar w:fldCharType="end"/>
      </w:r>
      <w:r w:rsidR="005C6D6D" w:rsidRPr="00C110E5">
        <w:t>.</w:t>
      </w:r>
      <w:r w:rsidR="005C6D6D">
        <w:t xml:space="preserve"> </w:t>
      </w:r>
      <w:r w:rsidR="00B509ED">
        <w:t>S</w:t>
      </w:r>
      <w:r w:rsidR="00B509ED" w:rsidRPr="00B509ED">
        <w:t xml:space="preserve">o-called extended L-band was also completed in Rel-18. </w:t>
      </w:r>
    </w:p>
    <w:p w14:paraId="01692701" w14:textId="12F6D788" w:rsidR="00A475ED" w:rsidRDefault="00B509ED" w:rsidP="00966007">
      <w:pPr>
        <w:jc w:val="both"/>
      </w:pPr>
      <w:r>
        <w:t>And a</w:t>
      </w:r>
      <w:r w:rsidRPr="00B509ED">
        <w:t>fter the RAN#104 meeting another spectrum WI was agreed for a satellite band operating in the S-band frequency range</w:t>
      </w:r>
      <w:r>
        <w:t xml:space="preserve"> </w:t>
      </w:r>
      <w:r>
        <w:fldChar w:fldCharType="begin"/>
      </w:r>
      <w:r>
        <w:instrText xml:space="preserve"> REF _Ref178775453 \r \h </w:instrText>
      </w:r>
      <w:r>
        <w:fldChar w:fldCharType="separate"/>
      </w:r>
      <w:r>
        <w:t>[3]</w:t>
      </w:r>
      <w:r>
        <w:fldChar w:fldCharType="end"/>
      </w:r>
      <w:r w:rsidRPr="00B509ED">
        <w:t>.</w:t>
      </w:r>
      <w:r w:rsidR="00CD5226">
        <w:t xml:space="preserve"> The UL block of a new NTN band covers the frequency range of 2000-2020MHz, which is close to the DL of another terrestrial band n25. And as discussed during the previous RAN4#112 meeting, there are some concerns on the potential impact from UL transmission on a new NTN band n252 to the DL receivers operating in the terrestrial band n25. Consequently, there were also concerns on the potential power back-off that band n252 UE may apply to meet existing requirements to protect band n25 receivers. </w:t>
      </w:r>
      <w:r w:rsidR="00D671FD">
        <w:t xml:space="preserve">RAN4#112bis concluded </w:t>
      </w:r>
      <w:r w:rsidR="00D671FD">
        <w:fldChar w:fldCharType="begin"/>
      </w:r>
      <w:r w:rsidR="00D671FD">
        <w:instrText xml:space="preserve"> REF _Ref181968675 \r \h </w:instrText>
      </w:r>
      <w:r w:rsidR="00D671FD">
        <w:fldChar w:fldCharType="separate"/>
      </w:r>
      <w:r w:rsidR="00D671FD">
        <w:t>[5]</w:t>
      </w:r>
      <w:r w:rsidR="00D671FD">
        <w:fldChar w:fldCharType="end"/>
      </w:r>
      <w:r w:rsidR="00D671FD">
        <w:t xml:space="preserve"> to consider an option to "</w:t>
      </w:r>
      <w:r w:rsidR="00D671FD" w:rsidRPr="00D671FD">
        <w:rPr>
          <w:i/>
          <w:iCs/>
        </w:rPr>
        <w:t>Define a new more relaxed spurious emission requirement for TN-NTN UE to UE coexistence compared to -50dBm/MH</w:t>
      </w:r>
      <w:r w:rsidR="00D671FD">
        <w:rPr>
          <w:i/>
          <w:iCs/>
        </w:rPr>
        <w:t>z</w:t>
      </w:r>
      <w:r w:rsidR="00D671FD">
        <w:t xml:space="preserve"> ". </w:t>
      </w:r>
      <w:r w:rsidR="00F41CD7">
        <w:t>And during the RAN4#113 meeting it was decided to consider further -40dBm/MHz and -30dBm/MHz protection limits. Thus, t</w:t>
      </w:r>
      <w:r w:rsidR="00CD5226">
        <w:t>o facilitate further technical discussions</w:t>
      </w:r>
      <w:r w:rsidR="00D671FD">
        <w:t xml:space="preserve"> on potential trade-offs between the relaxed </w:t>
      </w:r>
      <w:r w:rsidR="00F41CD7">
        <w:t>protection</w:t>
      </w:r>
      <w:r w:rsidR="00D671FD">
        <w:t xml:space="preserve"> requirements and</w:t>
      </w:r>
      <w:r w:rsidR="00CD5226">
        <w:t xml:space="preserve"> </w:t>
      </w:r>
      <w:r w:rsidR="00F41CD7">
        <w:t>potential</w:t>
      </w:r>
      <w:r w:rsidR="00D671FD">
        <w:t xml:space="preserve"> power back-off, </w:t>
      </w:r>
      <w:r w:rsidR="00CD5226">
        <w:t>we conduct a set of</w:t>
      </w:r>
      <w:r w:rsidR="00D671FD">
        <w:t xml:space="preserve"> additional</w:t>
      </w:r>
      <w:r w:rsidR="00CD5226">
        <w:t xml:space="preserve"> simulations</w:t>
      </w:r>
      <w:r w:rsidR="00F41CD7">
        <w:t>.</w:t>
      </w:r>
      <w:r w:rsidR="00CD5226">
        <w:t xml:space="preserve">     </w:t>
      </w:r>
    </w:p>
    <w:p w14:paraId="6078594E" w14:textId="5E8AB17F" w:rsidR="00DE6BE6" w:rsidRDefault="00FC371C" w:rsidP="00E65966">
      <w:pPr>
        <w:pStyle w:val="Heading1"/>
        <w:keepNext w:val="0"/>
        <w:keepLines w:val="0"/>
      </w:pPr>
      <w:r>
        <w:t>2</w:t>
      </w:r>
      <w:r>
        <w:tab/>
      </w:r>
      <w:r w:rsidR="00650557">
        <w:t xml:space="preserve">UE </w:t>
      </w:r>
      <w:r w:rsidR="00591F72">
        <w:t>power back-off values</w:t>
      </w:r>
    </w:p>
    <w:p w14:paraId="112D3A5F" w14:textId="61BE6A2D" w:rsidR="007026F3" w:rsidRDefault="007026F3" w:rsidP="007026F3">
      <w:pPr>
        <w:jc w:val="both"/>
        <w:rPr>
          <w:noProof/>
        </w:rPr>
      </w:pPr>
      <w:r>
        <w:t xml:space="preserve">Here we present power back-off results for the NTN band n252 with the following common assumptions: </w:t>
      </w:r>
    </w:p>
    <w:p w14:paraId="0F250D28" w14:textId="77777777" w:rsidR="007026F3" w:rsidRDefault="007026F3" w:rsidP="007026F3">
      <w:pPr>
        <w:pStyle w:val="B1"/>
      </w:pPr>
      <w:r>
        <w:t>-</w:t>
      </w:r>
      <w:r>
        <w:tab/>
        <w:t>Tx power: PC3 (+23dBm)</w:t>
      </w:r>
    </w:p>
    <w:p w14:paraId="1B766551" w14:textId="77777777" w:rsidR="007026F3" w:rsidRDefault="007026F3" w:rsidP="007026F3">
      <w:pPr>
        <w:pStyle w:val="B1"/>
      </w:pPr>
      <w:r>
        <w:t>-</w:t>
      </w:r>
      <w:r>
        <w:tab/>
        <w:t>LO placement: always in the centre of the carrier</w:t>
      </w:r>
    </w:p>
    <w:p w14:paraId="541B4B3D" w14:textId="74503F38" w:rsidR="00326299" w:rsidRDefault="007026F3" w:rsidP="00C428A8">
      <w:pPr>
        <w:pStyle w:val="B1"/>
      </w:pPr>
      <w:r>
        <w:t>-</w:t>
      </w:r>
      <w:r>
        <w:tab/>
      </w:r>
      <w:r w:rsidR="00C428A8">
        <w:t>Additional requirements</w:t>
      </w:r>
      <w:r>
        <w:t xml:space="preserve">: </w:t>
      </w:r>
      <w:r w:rsidR="00C428A8">
        <w:t>-</w:t>
      </w:r>
      <w:r w:rsidR="00CC756D">
        <w:t>4</w:t>
      </w:r>
      <w:r w:rsidR="00C428A8">
        <w:t xml:space="preserve">0dBm/MHz </w:t>
      </w:r>
      <w:r w:rsidR="00A06CA4">
        <w:t xml:space="preserve">and -30dBm/MHz </w:t>
      </w:r>
      <w:r w:rsidR="00C428A8">
        <w:t>protection criterion for band n25</w:t>
      </w:r>
      <w:r w:rsidR="00650557">
        <w:t xml:space="preserve"> </w:t>
      </w:r>
    </w:p>
    <w:p w14:paraId="38EDC189" w14:textId="77777777" w:rsidR="00795BC5" w:rsidRDefault="00795BC5" w:rsidP="00C013D6"/>
    <w:p w14:paraId="739DD14E" w14:textId="7891C589" w:rsidR="00A06CA4" w:rsidRDefault="00A06CA4" w:rsidP="00A06CA4">
      <w:pPr>
        <w:pStyle w:val="Heading2"/>
      </w:pPr>
      <w:r>
        <w:t>2.1</w:t>
      </w:r>
      <w:r>
        <w:tab/>
        <w:t>Power back-off simulations for -40dBm/MHz</w:t>
      </w:r>
    </w:p>
    <w:p w14:paraId="78488DAF" w14:textId="31AAE28F" w:rsidR="00C013D6" w:rsidRDefault="001E21EA" w:rsidP="00C013D6">
      <w:r>
        <w:t>Figure 2</w:t>
      </w:r>
      <w:r w:rsidR="004E7494">
        <w:t>.1</w:t>
      </w:r>
      <w:r>
        <w:t>-1</w:t>
      </w:r>
      <w:r w:rsidR="00A27CF6">
        <w:t xml:space="preserve"> and Figure 2.1-2</w:t>
      </w:r>
      <w:r>
        <w:t xml:space="preserve"> below present simulation results for the 5MHz channel</w:t>
      </w:r>
      <w:r w:rsidR="003D2F2E">
        <w:t>,</w:t>
      </w:r>
      <w:r>
        <w:t xml:space="preserve"> which is placed in the following locations within the band: left edge of the band </w:t>
      </w:r>
      <w:r w:rsidR="00CA0BC6">
        <w:t xml:space="preserve">(Fc=2002.5MHz) and </w:t>
      </w:r>
      <w:r w:rsidR="00A27CF6">
        <w:t xml:space="preserve">when the </w:t>
      </w:r>
      <w:proofErr w:type="spellStart"/>
      <w:r w:rsidR="00A27CF6">
        <w:t>center</w:t>
      </w:r>
      <w:proofErr w:type="spellEnd"/>
      <w:r w:rsidR="00A27CF6">
        <w:t xml:space="preserve"> frequency</w:t>
      </w:r>
      <w:r w:rsidR="00CA0BC6">
        <w:t xml:space="preserve"> shifted further away from the left edge (Fc=2007.5MHz).  For the sake of brevity</w:t>
      </w:r>
      <w:r w:rsidR="00A529B2">
        <w:t>,</w:t>
      </w:r>
      <w:r w:rsidR="00CA0BC6">
        <w:t xml:space="preserve"> we present only DFT-s-OFDM</w:t>
      </w:r>
      <w:r w:rsidR="00A27CF6">
        <w:t xml:space="preserve"> and CP-OFDM</w:t>
      </w:r>
      <w:r w:rsidR="00CA0BC6">
        <w:t xml:space="preserve"> results </w:t>
      </w:r>
      <w:r w:rsidR="00A27CF6">
        <w:t xml:space="preserve">(DFT-s-OFDM PI/2 BPSK results are usually close to </w:t>
      </w:r>
      <w:r w:rsidR="00A27CF6" w:rsidRPr="00A27CF6">
        <w:t xml:space="preserve">DFT-s-OFDM </w:t>
      </w:r>
      <w:r w:rsidR="00A27CF6">
        <w:t xml:space="preserve">QPSK and sometimes even outperform the latter). </w:t>
      </w:r>
      <w:r w:rsidR="003D2F2E">
        <w:t>So, referring to Figure 2</w:t>
      </w:r>
      <w:r w:rsidR="004E7494">
        <w:t>.1</w:t>
      </w:r>
      <w:r w:rsidR="003D2F2E">
        <w:t xml:space="preserve">-1 </w:t>
      </w:r>
      <w:r w:rsidR="00A27CF6">
        <w:t xml:space="preserve">and Figure 2.1-2 </w:t>
      </w:r>
      <w:r w:rsidR="003D2F2E">
        <w:t>the following general observations could be made</w:t>
      </w:r>
      <w:r w:rsidR="005B2F7C">
        <w:t xml:space="preserve"> for the 5MHz channel</w:t>
      </w:r>
      <w:r w:rsidR="003D2F2E">
        <w:t>:</w:t>
      </w:r>
    </w:p>
    <w:p w14:paraId="523BE573" w14:textId="57826EC7" w:rsidR="003D2F2E" w:rsidRDefault="003D2F2E" w:rsidP="003D2F2E">
      <w:pPr>
        <w:pStyle w:val="B1"/>
      </w:pPr>
      <w:r>
        <w:lastRenderedPageBreak/>
        <w:t>-</w:t>
      </w:r>
      <w:r>
        <w:tab/>
        <w:t xml:space="preserve">If the 5MHz channel is right at the left edge of the band, then large UL allocations may need large power back-off of up to </w:t>
      </w:r>
      <w:r w:rsidR="0032260E">
        <w:t>5</w:t>
      </w:r>
      <w:r>
        <w:t>dB</w:t>
      </w:r>
      <w:r w:rsidR="0032260E">
        <w:t xml:space="preserve"> even for DFT-s-OFDM</w:t>
      </w:r>
      <w:r>
        <w:t xml:space="preserve">. On the other hand, if we consider small UL allocations, which are likely to be the case for the NTN channels, then </w:t>
      </w:r>
      <w:r w:rsidR="0032260E">
        <w:t>no</w:t>
      </w:r>
      <w:r>
        <w:t xml:space="preserve"> power back-off is </w:t>
      </w:r>
      <w:r w:rsidR="0032260E">
        <w:t>needed</w:t>
      </w:r>
      <w:r>
        <w:t xml:space="preserve">. </w:t>
      </w:r>
      <w:r w:rsidR="0032260E">
        <w:t xml:space="preserve">In </w:t>
      </w:r>
      <w:proofErr w:type="gramStart"/>
      <w:r w:rsidR="0032260E">
        <w:t>fact</w:t>
      </w:r>
      <w:proofErr w:type="gramEnd"/>
      <w:r w:rsidR="0032260E">
        <w:t xml:space="preserve"> even medium size UL allocations of up to 10RBs are not likely to have any power back-off</w:t>
      </w:r>
      <w:r>
        <w:t xml:space="preserve">. </w:t>
      </w:r>
    </w:p>
    <w:p w14:paraId="701B7EB5" w14:textId="3837C510" w:rsidR="003D2F2E" w:rsidRDefault="003D2F2E" w:rsidP="003D2F2E">
      <w:pPr>
        <w:pStyle w:val="B1"/>
      </w:pPr>
      <w:r>
        <w:t>-</w:t>
      </w:r>
      <w:r>
        <w:tab/>
        <w:t xml:space="preserve">If the 5MHz channel is shifted farther away from the band lower edge, then required power back-off reduces dramatically. Only large UL allocations may need power back-off.  </w:t>
      </w:r>
    </w:p>
    <w:p w14:paraId="208D37A8" w14:textId="77777777" w:rsidR="00C013D6" w:rsidRDefault="00C013D6" w:rsidP="00C013D6"/>
    <w:p w14:paraId="3095C172" w14:textId="5DD4A324" w:rsidR="00A27CF6" w:rsidRDefault="00A27CF6" w:rsidP="00A27CF6">
      <w:pPr>
        <w:jc w:val="center"/>
      </w:pPr>
      <w:r w:rsidRPr="00A27CF6">
        <w:rPr>
          <w:noProof/>
        </w:rPr>
        <w:drawing>
          <wp:inline distT="0" distB="0" distL="0" distR="0" wp14:anchorId="4E451E91" wp14:editId="13A5247B">
            <wp:extent cx="2552400" cy="2084400"/>
            <wp:effectExtent l="0" t="0" r="635" b="0"/>
            <wp:docPr id="912868957" name="Picture 1" descr="A graph of different colo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868957" name="Picture 1" descr="A graph of different colors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52400" cy="20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27CF6">
        <w:rPr>
          <w:noProof/>
        </w:rPr>
        <w:drawing>
          <wp:inline distT="0" distB="0" distL="0" distR="0" wp14:anchorId="32F64271" wp14:editId="4F251CF4">
            <wp:extent cx="2577600" cy="2098800"/>
            <wp:effectExtent l="0" t="0" r="635" b="0"/>
            <wp:docPr id="1539777322" name="Picture 1" descr="A graph of a diagram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9777322" name="Picture 1" descr="A graph of a diagram&#10;&#10;Description automatically generated with medium confidenc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77600" cy="209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418DD" w14:textId="648D9014" w:rsidR="00751068" w:rsidRDefault="007026F3" w:rsidP="00D91D0F">
      <w:pPr>
        <w:pStyle w:val="TH"/>
      </w:pPr>
      <w:r>
        <w:t>Figure 2</w:t>
      </w:r>
      <w:r w:rsidR="004E7494">
        <w:t>.1</w:t>
      </w:r>
      <w:r>
        <w:t xml:space="preserve">-1: Power back-off values for the 5MHz channel </w:t>
      </w:r>
      <w:r w:rsidR="00A27CF6">
        <w:t>(Fc=2002.5MHz)</w:t>
      </w:r>
    </w:p>
    <w:p w14:paraId="262FA647" w14:textId="77777777" w:rsidR="00D46DF8" w:rsidRDefault="00D46DF8" w:rsidP="00D46DF8"/>
    <w:p w14:paraId="78E09238" w14:textId="48BA901F" w:rsidR="00E31772" w:rsidRDefault="00D870E5" w:rsidP="00D870E5">
      <w:pPr>
        <w:jc w:val="center"/>
      </w:pPr>
      <w:r w:rsidRPr="00D870E5">
        <w:rPr>
          <w:noProof/>
        </w:rPr>
        <w:drawing>
          <wp:inline distT="0" distB="0" distL="0" distR="0" wp14:anchorId="5955F731" wp14:editId="466F62E4">
            <wp:extent cx="2581200" cy="2077200"/>
            <wp:effectExtent l="0" t="0" r="0" b="5715"/>
            <wp:docPr id="1511431320" name="Picture 1" descr="A graph of a number of colo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1431320" name="Picture 1" descr="A graph of a number of colors&#10;&#10;Description automatically generated with medium confidenc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81200" cy="207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870E5">
        <w:rPr>
          <w:noProof/>
        </w:rPr>
        <w:drawing>
          <wp:inline distT="0" distB="0" distL="0" distR="0" wp14:anchorId="5FFA2775" wp14:editId="4BCB1391">
            <wp:extent cx="2577600" cy="2084400"/>
            <wp:effectExtent l="0" t="0" r="635" b="0"/>
            <wp:docPr id="1997286061" name="Picture 1" descr="A graph with different colored squar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7286061" name="Picture 1" descr="A graph with different colored squares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77600" cy="20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0D2FF" w14:textId="6AE332B5" w:rsidR="00D870E5" w:rsidRDefault="00D870E5" w:rsidP="00D870E5">
      <w:pPr>
        <w:pStyle w:val="TH"/>
      </w:pPr>
      <w:r>
        <w:t>Figure 2.1-2: Power back-off values for the 5MHz channel (Fc=2007.5MHz)</w:t>
      </w:r>
    </w:p>
    <w:p w14:paraId="517BA39E" w14:textId="77777777" w:rsidR="00D870E5" w:rsidRDefault="00D870E5" w:rsidP="00D46DF8"/>
    <w:p w14:paraId="3AE8D367" w14:textId="0452EC1F" w:rsidR="000506CF" w:rsidRDefault="000506CF" w:rsidP="00D46DF8">
      <w:r>
        <w:t>Figure 2</w:t>
      </w:r>
      <w:r w:rsidR="004E7494">
        <w:t>.1</w:t>
      </w:r>
      <w:r>
        <w:t>-</w:t>
      </w:r>
      <w:r w:rsidR="00467D7B">
        <w:t>3 and</w:t>
      </w:r>
      <w:r>
        <w:t xml:space="preserve"> </w:t>
      </w:r>
      <w:r w:rsidR="00467D7B">
        <w:t xml:space="preserve">Figure 2.1-4 </w:t>
      </w:r>
      <w:r>
        <w:t xml:space="preserve">present power back-off values for the 10MHz channel considering </w:t>
      </w:r>
      <w:r w:rsidR="00467D7B">
        <w:t>the following</w:t>
      </w:r>
      <w:r>
        <w:t xml:space="preserve"> locations of the channel: right at the left edge of the band (Fc=2005)</w:t>
      </w:r>
      <w:r w:rsidR="00467D7B">
        <w:t xml:space="preserve"> and </w:t>
      </w:r>
      <w:r>
        <w:t>shifted to the right so that the offset from the band edge is 5MHz (Fc=2010)</w:t>
      </w:r>
      <w:r w:rsidR="00467D7B">
        <w:t>.</w:t>
      </w:r>
      <w:r>
        <w:t xml:space="preserve"> The following general observations can be made:</w:t>
      </w:r>
    </w:p>
    <w:p w14:paraId="33B87D78" w14:textId="45EA414D" w:rsidR="000506CF" w:rsidRDefault="000506CF" w:rsidP="000506CF">
      <w:pPr>
        <w:pStyle w:val="B1"/>
      </w:pPr>
      <w:r>
        <w:t>-</w:t>
      </w:r>
      <w:r>
        <w:tab/>
        <w:t>For the first case, i.e. when the 10MHz channel resides at the left edge of the band</w:t>
      </w:r>
      <w:r w:rsidR="00467D7B">
        <w:t>,</w:t>
      </w:r>
      <w:r>
        <w:t xml:space="preserve"> large power back-off is needed even for small UL allocations.</w:t>
      </w:r>
    </w:p>
    <w:p w14:paraId="3E88B234" w14:textId="65748F7B" w:rsidR="000506CF" w:rsidRDefault="000506CF" w:rsidP="000506CF">
      <w:pPr>
        <w:pStyle w:val="B1"/>
      </w:pPr>
      <w:r>
        <w:t>-</w:t>
      </w:r>
      <w:r>
        <w:tab/>
        <w:t xml:space="preserve">If the 10MHz channel is offset by </w:t>
      </w:r>
      <w:r w:rsidR="00467D7B">
        <w:t xml:space="preserve">at least </w:t>
      </w:r>
      <w:r>
        <w:t xml:space="preserve">the </w:t>
      </w:r>
      <w:r w:rsidR="00467D7B">
        <w:t>5</w:t>
      </w:r>
      <w:r>
        <w:t xml:space="preserve">MHz gap from the left edge, then small UL allocations will </w:t>
      </w:r>
      <w:r w:rsidR="00467D7B">
        <w:t>require no power back-off</w:t>
      </w:r>
      <w:r>
        <w:t xml:space="preserve"> backoff</w:t>
      </w:r>
      <w:r w:rsidR="00467D7B">
        <w:t xml:space="preserve">. </w:t>
      </w:r>
      <w:r>
        <w:t xml:space="preserve"> </w:t>
      </w:r>
    </w:p>
    <w:p w14:paraId="184EE034" w14:textId="77777777" w:rsidR="009A40B3" w:rsidRDefault="009A40B3" w:rsidP="009A40B3"/>
    <w:p w14:paraId="32DADF7C" w14:textId="5E826027" w:rsidR="00467D7B" w:rsidRDefault="00467D7B" w:rsidP="00467D7B">
      <w:pPr>
        <w:jc w:val="center"/>
      </w:pPr>
      <w:r w:rsidRPr="00467D7B">
        <w:rPr>
          <w:noProof/>
        </w:rPr>
        <w:lastRenderedPageBreak/>
        <w:drawing>
          <wp:inline distT="0" distB="0" distL="0" distR="0" wp14:anchorId="1AD67A05" wp14:editId="29FC31EF">
            <wp:extent cx="2577600" cy="2066400"/>
            <wp:effectExtent l="0" t="0" r="635" b="3810"/>
            <wp:docPr id="1518830990" name="Picture 1" descr="A graph of different colo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8830990" name="Picture 1" descr="A graph of different colors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77600" cy="206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67D7B">
        <w:rPr>
          <w:noProof/>
        </w:rPr>
        <w:drawing>
          <wp:inline distT="0" distB="0" distL="0" distR="0" wp14:anchorId="754EF39E" wp14:editId="6C3997F2">
            <wp:extent cx="2689200" cy="2102400"/>
            <wp:effectExtent l="0" t="0" r="3810" b="6350"/>
            <wp:docPr id="38765813" name="Picture 1" descr="A diagram of a graph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65813" name="Picture 1" descr="A diagram of a graph&#10;&#10;Description automatically generated with medium confidenc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89200" cy="210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00D6A" w14:textId="5744C01D" w:rsidR="000506CF" w:rsidRDefault="009A40B3" w:rsidP="009A40B3">
      <w:pPr>
        <w:pStyle w:val="TF"/>
      </w:pPr>
      <w:r>
        <w:t>Figure 2</w:t>
      </w:r>
      <w:r w:rsidR="004E7494">
        <w:t>.1</w:t>
      </w:r>
      <w:r>
        <w:t>-</w:t>
      </w:r>
      <w:r w:rsidR="00467D7B">
        <w:t>3</w:t>
      </w:r>
      <w:r>
        <w:t xml:space="preserve">: Power back-off values for the </w:t>
      </w:r>
      <w:r w:rsidR="004E39C4">
        <w:t>10</w:t>
      </w:r>
      <w:r>
        <w:t xml:space="preserve">MHz channel </w:t>
      </w:r>
      <w:r w:rsidR="00467D7B">
        <w:t>(Fc=2005MHz)</w:t>
      </w:r>
    </w:p>
    <w:p w14:paraId="51E00EB1" w14:textId="77777777" w:rsidR="00E31772" w:rsidRDefault="00E31772" w:rsidP="00D46DF8"/>
    <w:p w14:paraId="6F605AA5" w14:textId="06D71E64" w:rsidR="00467D7B" w:rsidRDefault="00467D7B" w:rsidP="00467D7B">
      <w:pPr>
        <w:jc w:val="center"/>
      </w:pPr>
      <w:r w:rsidRPr="00467D7B">
        <w:rPr>
          <w:noProof/>
        </w:rPr>
        <w:drawing>
          <wp:inline distT="0" distB="0" distL="0" distR="0" wp14:anchorId="11C6F88D" wp14:editId="0F4FC3A8">
            <wp:extent cx="2552400" cy="2080800"/>
            <wp:effectExtent l="0" t="0" r="635" b="2540"/>
            <wp:docPr id="1530686104" name="Picture 1" descr="A graph of a graph with numbers and tex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0686104" name="Picture 1" descr="A graph of a graph with numbers and text&#10;&#10;Description automatically generated with medium confidence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52400" cy="208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67D7B">
        <w:rPr>
          <w:noProof/>
        </w:rPr>
        <w:drawing>
          <wp:inline distT="0" distB="0" distL="0" distR="0" wp14:anchorId="228A7A91" wp14:editId="1162655B">
            <wp:extent cx="2581200" cy="2095200"/>
            <wp:effectExtent l="0" t="0" r="0" b="635"/>
            <wp:docPr id="1757440951" name="Picture 1" descr="A diagram of a triangl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7440951" name="Picture 1" descr="A diagram of a triangle&#10;&#10;Description automatically generated with medium confidence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81200" cy="209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73112" w14:textId="712A0AF1" w:rsidR="00467D7B" w:rsidRDefault="00467D7B" w:rsidP="00467D7B">
      <w:pPr>
        <w:pStyle w:val="TF"/>
      </w:pPr>
      <w:r>
        <w:t>Figure 2.1-4: Power back-off values for the 10MHz channel (Fc=2010MHz)</w:t>
      </w:r>
    </w:p>
    <w:p w14:paraId="2354C518" w14:textId="77777777" w:rsidR="00467D7B" w:rsidRDefault="00467D7B" w:rsidP="00D46DF8"/>
    <w:p w14:paraId="6E2C636C" w14:textId="54B43112" w:rsidR="007026F3" w:rsidRDefault="00D46DF8" w:rsidP="00D46DF8">
      <w:r>
        <w:t xml:space="preserve">Next, </w:t>
      </w:r>
      <w:proofErr w:type="gramStart"/>
      <w:r>
        <w:t>Figure</w:t>
      </w:r>
      <w:proofErr w:type="gramEnd"/>
      <w:r>
        <w:t xml:space="preserve"> 2</w:t>
      </w:r>
      <w:r w:rsidR="004E7494">
        <w:t>.1</w:t>
      </w:r>
      <w:r>
        <w:t>-</w:t>
      </w:r>
      <w:r w:rsidR="00BB3EF4">
        <w:t>5 and 2.1-6</w:t>
      </w:r>
      <w:r>
        <w:t xml:space="preserve"> present power back-off values for the </w:t>
      </w:r>
      <w:r w:rsidR="00BB3EF4">
        <w:t>15</w:t>
      </w:r>
      <w:r>
        <w:t>MHz channel</w:t>
      </w:r>
      <w:r w:rsidR="00BB3EF4">
        <w:t xml:space="preserve"> at the following locations: right at the left edge of the band (Fc=2007.5) and shifted to the right so that the offset from the band edge is 5MHz (Fc=2012.5).</w:t>
      </w:r>
      <w:r w:rsidR="00911145">
        <w:t xml:space="preserve"> As can be seen from the figures, irrespective of the15MHz channel location, edge allocations, even small ones, will require large power back-off.  </w:t>
      </w:r>
    </w:p>
    <w:p w14:paraId="41347E65" w14:textId="49538B24" w:rsidR="00D46DF8" w:rsidRDefault="00BD3F17" w:rsidP="00D46DF8">
      <w:pPr>
        <w:jc w:val="center"/>
      </w:pPr>
      <w:r w:rsidRPr="00BD3F17">
        <w:rPr>
          <w:noProof/>
        </w:rPr>
        <w:drawing>
          <wp:inline distT="0" distB="0" distL="0" distR="0" wp14:anchorId="3E36CA7C" wp14:editId="39B5D8EC">
            <wp:extent cx="2577600" cy="2059200"/>
            <wp:effectExtent l="0" t="0" r="635" b="0"/>
            <wp:docPr id="1195598994" name="Picture 1" descr="A graph of different colo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598994" name="Picture 1" descr="A graph of different colors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77600" cy="205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BD3F17">
        <w:rPr>
          <w:noProof/>
        </w:rPr>
        <w:drawing>
          <wp:inline distT="0" distB="0" distL="0" distR="0" wp14:anchorId="250DC051" wp14:editId="1C27A3F7">
            <wp:extent cx="2692800" cy="2095200"/>
            <wp:effectExtent l="0" t="0" r="0" b="635"/>
            <wp:docPr id="2020246265" name="Picture 1" descr="A graph of a graph showing a range of frequency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0246265" name="Picture 1" descr="A graph of a graph showing a range of frequency&#10;&#10;Description automatically generated with medium confidenc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92800" cy="209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E0738" w14:textId="352004A6" w:rsidR="00D46DF8" w:rsidRDefault="00D46DF8" w:rsidP="00D46DF8">
      <w:pPr>
        <w:pStyle w:val="TH"/>
      </w:pPr>
      <w:r>
        <w:t>Figure 2</w:t>
      </w:r>
      <w:r w:rsidR="004E7494">
        <w:t>.1</w:t>
      </w:r>
      <w:r>
        <w:t>-</w:t>
      </w:r>
      <w:r w:rsidR="00BD3F17">
        <w:t>5</w:t>
      </w:r>
      <w:r>
        <w:t xml:space="preserve">: Power back-off values for the </w:t>
      </w:r>
      <w:r w:rsidR="00BD3F17">
        <w:t>15</w:t>
      </w:r>
      <w:r>
        <w:t xml:space="preserve">MHz channel </w:t>
      </w:r>
      <w:r w:rsidR="00BD3F17">
        <w:t>(Fc=2007.5MHz)</w:t>
      </w:r>
    </w:p>
    <w:p w14:paraId="5D02C80A" w14:textId="77777777" w:rsidR="00BD3F17" w:rsidRDefault="00BD3F17" w:rsidP="00BD3F17"/>
    <w:p w14:paraId="0ED16586" w14:textId="77777777" w:rsidR="00D46DF8" w:rsidRDefault="00D46DF8" w:rsidP="00D46DF8"/>
    <w:p w14:paraId="582685D7" w14:textId="77777777" w:rsidR="00BD3F17" w:rsidRDefault="00BD3F17" w:rsidP="00D46DF8"/>
    <w:p w14:paraId="0DFE3EA6" w14:textId="63675E8C" w:rsidR="00BD3F17" w:rsidRDefault="00BD3F17" w:rsidP="00BD3F17">
      <w:pPr>
        <w:jc w:val="center"/>
      </w:pPr>
      <w:r w:rsidRPr="00BD3F17">
        <w:rPr>
          <w:noProof/>
        </w:rPr>
        <w:drawing>
          <wp:inline distT="0" distB="0" distL="0" distR="0" wp14:anchorId="20CBA061" wp14:editId="2287485E">
            <wp:extent cx="2577600" cy="2073600"/>
            <wp:effectExtent l="0" t="0" r="635" b="0"/>
            <wp:docPr id="1491475989" name="Picture 1" descr="A graph of different colo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1475989" name="Picture 1" descr="A graph of different colors&#10;&#10;Description automatically generated with medium confidenc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77600" cy="207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D3F17">
        <w:rPr>
          <w:noProof/>
        </w:rPr>
        <w:drawing>
          <wp:inline distT="0" distB="0" distL="0" distR="0" wp14:anchorId="0506F42D" wp14:editId="145D8942">
            <wp:extent cx="2552400" cy="2084400"/>
            <wp:effectExtent l="0" t="0" r="635" b="0"/>
            <wp:docPr id="1889995910" name="Picture 1" descr="A graph of a graph showing a triangl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9995910" name="Picture 1" descr="A graph of a graph showing a triangle&#10;&#10;Description automatically generated with medium confidenc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52400" cy="20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C44E3" w14:textId="407D3ED5" w:rsidR="00BD3F17" w:rsidRDefault="00BD3F17" w:rsidP="00BD3F17">
      <w:pPr>
        <w:pStyle w:val="TF"/>
      </w:pPr>
      <w:r>
        <w:t>Figure 2.1-6: Power back-off values for the 15MHz channel (Fc=2012.5MHz)</w:t>
      </w:r>
    </w:p>
    <w:p w14:paraId="50E963BB" w14:textId="77777777" w:rsidR="00BD3F17" w:rsidRDefault="00BD3F17" w:rsidP="00D46DF8"/>
    <w:p w14:paraId="5D84C0B0" w14:textId="24F0B359" w:rsidR="00162F54" w:rsidRDefault="00162F54" w:rsidP="00162F54">
      <w:pPr>
        <w:pStyle w:val="Heading2"/>
      </w:pPr>
      <w:r>
        <w:t>2.2</w:t>
      </w:r>
      <w:r>
        <w:tab/>
        <w:t>Power back-off simulations for -30dBm/MHz</w:t>
      </w:r>
    </w:p>
    <w:p w14:paraId="04A232D5" w14:textId="74398C0F" w:rsidR="00162F54" w:rsidRDefault="00162F54" w:rsidP="00D46DF8">
      <w:r>
        <w:t xml:space="preserve">In this section we present UE power back-off values for </w:t>
      </w:r>
      <w:r w:rsidR="009E2C61">
        <w:t>the</w:t>
      </w:r>
      <w:r>
        <w:t xml:space="preserve"> same channel sizes and </w:t>
      </w:r>
      <w:proofErr w:type="spellStart"/>
      <w:r>
        <w:t>center</w:t>
      </w:r>
      <w:proofErr w:type="spellEnd"/>
      <w:r>
        <w:t xml:space="preserve"> frequencies as in the previous sub-section, but a more relaxed -30dBm/MHz protection criterion is used. </w:t>
      </w:r>
    </w:p>
    <w:p w14:paraId="7BA62C4A" w14:textId="12A75082" w:rsidR="00097675" w:rsidRDefault="00097675" w:rsidP="00D46DF8">
      <w:r>
        <w:t xml:space="preserve">Figure 2.2-1 below presents power back-off values for the 5MHz channel, which is right at the left edge of the band. As can be seen, only large allocations might need power back-off, which should be even within the existing MPR margins. </w:t>
      </w:r>
    </w:p>
    <w:p w14:paraId="3F131BB1" w14:textId="3B763B30" w:rsidR="00097675" w:rsidRDefault="00097675" w:rsidP="00D46DF8">
      <w:r w:rsidRPr="00097675">
        <w:rPr>
          <w:noProof/>
        </w:rPr>
        <w:drawing>
          <wp:inline distT="0" distB="0" distL="0" distR="0" wp14:anchorId="2E79C74D" wp14:editId="48A19A81">
            <wp:extent cx="2577600" cy="2088000"/>
            <wp:effectExtent l="0" t="0" r="635" b="0"/>
            <wp:docPr id="416603839" name="Picture 1" descr="A graph with numbers and a bar cha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603839" name="Picture 1" descr="A graph with numbers and a bar chart&#10;&#10;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77600" cy="20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</w:t>
      </w:r>
      <w:r w:rsidRPr="00097675">
        <w:rPr>
          <w:noProof/>
        </w:rPr>
        <w:drawing>
          <wp:inline distT="0" distB="0" distL="0" distR="0" wp14:anchorId="41C962E6" wp14:editId="7AB12798">
            <wp:extent cx="2577600" cy="2073600"/>
            <wp:effectExtent l="0" t="0" r="635" b="0"/>
            <wp:docPr id="1031928437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928437" name="Picture 1" descr="A graph of a graph&#10;&#10;AI-generated content may b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77600" cy="207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9E1AB" w14:textId="19075055" w:rsidR="00097675" w:rsidRDefault="00097675" w:rsidP="00097675">
      <w:pPr>
        <w:pStyle w:val="TH"/>
      </w:pPr>
      <w:r>
        <w:t>Figure 2.2-1: Power back-off values for the 5MHz channel (Fc=2002.5MHz)</w:t>
      </w:r>
    </w:p>
    <w:p w14:paraId="38360D60" w14:textId="77777777" w:rsidR="00097675" w:rsidRDefault="00097675" w:rsidP="00D46DF8">
      <w:r>
        <w:t xml:space="preserve">Figure 2.2-2 and Figure 2.2-3 present power back-off values for the 10MHz channel. General observations are the same as for the -40dBm/MHz protection limit, with the only noticeable difference that for the edge 10MHz channel bandwidth only the leftmost edge allocations will need high power back-off values. </w:t>
      </w:r>
    </w:p>
    <w:p w14:paraId="1CDBCB93" w14:textId="2D467D6F" w:rsidR="00162F54" w:rsidRDefault="00097675" w:rsidP="00097675">
      <w:pPr>
        <w:jc w:val="center"/>
      </w:pPr>
      <w:r w:rsidRPr="00097675">
        <w:rPr>
          <w:noProof/>
        </w:rPr>
        <w:lastRenderedPageBreak/>
        <w:drawing>
          <wp:inline distT="0" distB="0" distL="0" distR="0" wp14:anchorId="41949AA3" wp14:editId="23584656">
            <wp:extent cx="2552400" cy="2088000"/>
            <wp:effectExtent l="0" t="0" r="635" b="0"/>
            <wp:docPr id="703916166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916166" name="Picture 1" descr="A graph of different colors&#10;&#10;AI-generated content may be incorrect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52400" cy="20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97675">
        <w:rPr>
          <w:noProof/>
        </w:rPr>
        <w:drawing>
          <wp:inline distT="0" distB="0" distL="0" distR="0" wp14:anchorId="2B08D07B" wp14:editId="5F86B7E4">
            <wp:extent cx="2527200" cy="2098800"/>
            <wp:effectExtent l="0" t="0" r="635" b="0"/>
            <wp:docPr id="17774009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7400929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27200" cy="209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7D618" w14:textId="1A0AD97E" w:rsidR="00097675" w:rsidRDefault="00097675" w:rsidP="00097675">
      <w:pPr>
        <w:pStyle w:val="TF"/>
      </w:pPr>
      <w:r>
        <w:t>Figure 2.2-2: Power back-off values for the 10MHz channel (Fc=2005MHz)</w:t>
      </w:r>
    </w:p>
    <w:p w14:paraId="777994D9" w14:textId="77777777" w:rsidR="00097675" w:rsidRDefault="00097675" w:rsidP="00D46DF8"/>
    <w:p w14:paraId="2AB91D23" w14:textId="7B6D4F8B" w:rsidR="00097675" w:rsidRDefault="00097675" w:rsidP="00097675">
      <w:pPr>
        <w:jc w:val="center"/>
      </w:pPr>
      <w:r w:rsidRPr="00097675">
        <w:rPr>
          <w:noProof/>
        </w:rPr>
        <w:drawing>
          <wp:inline distT="0" distB="0" distL="0" distR="0" wp14:anchorId="2CC4C5B6" wp14:editId="0E633C8C">
            <wp:extent cx="2581200" cy="2095200"/>
            <wp:effectExtent l="0" t="0" r="0" b="635"/>
            <wp:docPr id="1223779395" name="Picture 1" descr="A graph of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3779395" name="Picture 1" descr="A graph of different colors&#10;&#10;AI-generated content may be incorrect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581200" cy="209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97675">
        <w:rPr>
          <w:noProof/>
        </w:rPr>
        <w:drawing>
          <wp:inline distT="0" distB="0" distL="0" distR="0" wp14:anchorId="25BCB3DA" wp14:editId="422FBD82">
            <wp:extent cx="2606400" cy="2073600"/>
            <wp:effectExtent l="0" t="0" r="0" b="0"/>
            <wp:docPr id="66749732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749732" name="Picture 1" descr="A graph of a graph&#10;&#10;AI-generated content may be incorrect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606400" cy="207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A0606" w14:textId="3CF76F15" w:rsidR="00097675" w:rsidRDefault="00097675" w:rsidP="00097675">
      <w:pPr>
        <w:pStyle w:val="TF"/>
      </w:pPr>
      <w:r>
        <w:t>Figure 2.2-3: Power back-off values for the 10MHz channel (Fc=2010MHz)</w:t>
      </w:r>
    </w:p>
    <w:p w14:paraId="7DA12AA0" w14:textId="3B6ECE58" w:rsidR="00097675" w:rsidRDefault="00194641" w:rsidP="00D46DF8">
      <w:r>
        <w:t xml:space="preserve">Figure 2.2-4 and Figure 2.2-5 present power back-off values for the 15MHz channel. Like in the previous simulation case of the -40dBm/MHz protection limit, the edge 15MHz channel will require large back-off values for a wide range of UL allocations. Once shifted to the right, large power back-off values are mostly constrained to the leftmost edge RBs. </w:t>
      </w:r>
    </w:p>
    <w:p w14:paraId="6A6C9178" w14:textId="2494A3B6" w:rsidR="00097675" w:rsidRDefault="0031301F" w:rsidP="0031301F">
      <w:pPr>
        <w:jc w:val="center"/>
      </w:pPr>
      <w:r w:rsidRPr="0031301F">
        <w:rPr>
          <w:noProof/>
        </w:rPr>
        <w:drawing>
          <wp:inline distT="0" distB="0" distL="0" distR="0" wp14:anchorId="757D92BA" wp14:editId="0BFB9A36">
            <wp:extent cx="2577600" cy="2044800"/>
            <wp:effectExtent l="0" t="0" r="635" b="0"/>
            <wp:docPr id="1291820231" name="Picture 1" descr="A graph of different colored lin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1820231" name="Picture 1" descr="A graph of different colored lines&#10;&#10;AI-generated content may be incorrect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577600" cy="20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1301F">
        <w:rPr>
          <w:noProof/>
        </w:rPr>
        <w:drawing>
          <wp:inline distT="0" distB="0" distL="0" distR="0" wp14:anchorId="5B77AA09" wp14:editId="772AFDB5">
            <wp:extent cx="2602800" cy="2059200"/>
            <wp:effectExtent l="0" t="0" r="1270" b="0"/>
            <wp:docPr id="1659901252" name="Picture 1" descr="A graph showing a rainbow curv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9901252" name="Picture 1" descr="A graph showing a rainbow curve&#10;&#10;AI-generated content may be incorrect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602800" cy="205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C47FF" w14:textId="365C1F23" w:rsidR="0031301F" w:rsidRDefault="0031301F" w:rsidP="0031301F">
      <w:pPr>
        <w:pStyle w:val="TH"/>
      </w:pPr>
      <w:r>
        <w:t>Figure 2.</w:t>
      </w:r>
      <w:r w:rsidR="00636C1B">
        <w:t>2</w:t>
      </w:r>
      <w:r>
        <w:t>-4: Power back-off values for the 15MHz channel (Fc=2007.5MHz)</w:t>
      </w:r>
    </w:p>
    <w:p w14:paraId="7C47A393" w14:textId="77777777" w:rsidR="0031301F" w:rsidRDefault="0031301F" w:rsidP="00D46DF8"/>
    <w:p w14:paraId="5024C8E8" w14:textId="4DDFE755" w:rsidR="0031301F" w:rsidRDefault="0031301F" w:rsidP="0031301F">
      <w:pPr>
        <w:jc w:val="center"/>
      </w:pPr>
      <w:r w:rsidRPr="0031301F">
        <w:rPr>
          <w:noProof/>
        </w:rPr>
        <w:lastRenderedPageBreak/>
        <w:drawing>
          <wp:inline distT="0" distB="0" distL="0" distR="0" wp14:anchorId="65F4BC75" wp14:editId="5C71996D">
            <wp:extent cx="2577600" cy="2070000"/>
            <wp:effectExtent l="0" t="0" r="635" b="635"/>
            <wp:docPr id="212942909" name="Picture 1" descr="A graph of a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42909" name="Picture 1" descr="A graph of a graph&#10;&#10;AI-generated content may be incorrect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577600" cy="207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1301F">
        <w:rPr>
          <w:noProof/>
        </w:rPr>
        <w:drawing>
          <wp:inline distT="0" distB="0" distL="0" distR="0" wp14:anchorId="2FCE29FB" wp14:editId="6ED45658">
            <wp:extent cx="2548800" cy="2091600"/>
            <wp:effectExtent l="0" t="0" r="4445" b="4445"/>
            <wp:docPr id="1277468884" name="Picture 1" descr="A graph of a graph showing a triangl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7468884" name="Picture 1" descr="A graph of a graph showing a triangle&#10;&#10;AI-generated content may be incorrect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548800" cy="209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D8CFC" w14:textId="6E90F564" w:rsidR="0031301F" w:rsidRDefault="0031301F" w:rsidP="0031301F">
      <w:pPr>
        <w:pStyle w:val="TF"/>
      </w:pPr>
      <w:r>
        <w:t>Figure 2.</w:t>
      </w:r>
      <w:r w:rsidR="00636C1B">
        <w:t>2</w:t>
      </w:r>
      <w:r>
        <w:t>-5: Power back-off values for the 15MHz channel (Fc=2012.5MHz)</w:t>
      </w:r>
    </w:p>
    <w:p w14:paraId="35ECB406" w14:textId="77777777" w:rsidR="00097675" w:rsidRDefault="00097675" w:rsidP="00D46DF8"/>
    <w:p w14:paraId="2BDA6E65" w14:textId="77777777" w:rsidR="00097675" w:rsidRDefault="00097675" w:rsidP="00D46DF8"/>
    <w:p w14:paraId="24D3CCD6" w14:textId="1BBD914B" w:rsidR="00795BC5" w:rsidRDefault="00795BC5" w:rsidP="00795BC5">
      <w:pPr>
        <w:pStyle w:val="Heading2"/>
      </w:pPr>
      <w:r>
        <w:t>2.</w:t>
      </w:r>
      <w:r w:rsidR="00670D68">
        <w:t>3</w:t>
      </w:r>
      <w:r>
        <w:tab/>
      </w:r>
      <w:r w:rsidR="00812E81">
        <w:t>Summary</w:t>
      </w:r>
    </w:p>
    <w:p w14:paraId="3C439A35" w14:textId="2DCD942F" w:rsidR="000B51EC" w:rsidRDefault="00812E81" w:rsidP="000B51EC">
      <w:r>
        <w:t>For the -40dBm/MHz protection requirement the following general observations can be made on how potential channel configurations may look like</w:t>
      </w:r>
      <w:r w:rsidR="000B51EC">
        <w:t xml:space="preserve">:  </w:t>
      </w:r>
    </w:p>
    <w:p w14:paraId="72040278" w14:textId="1B5DB566" w:rsidR="000B51EC" w:rsidRDefault="000B51EC" w:rsidP="000B51EC">
      <w:pPr>
        <w:pStyle w:val="B1"/>
      </w:pPr>
      <w:r>
        <w:t>-</w:t>
      </w:r>
      <w:r>
        <w:tab/>
      </w:r>
      <w:r w:rsidR="00812E81">
        <w:rPr>
          <w:i/>
          <w:iCs/>
        </w:rPr>
        <w:t>5+5+10MHz</w:t>
      </w:r>
      <w:r>
        <w:t xml:space="preserve">. </w:t>
      </w:r>
      <w:r w:rsidR="00812E81">
        <w:t xml:space="preserve">In this case the leftmost channel is </w:t>
      </w:r>
      <w:r w:rsidR="00C27A92">
        <w:t xml:space="preserve">configured as </w:t>
      </w:r>
      <w:r w:rsidR="00812E81">
        <w:t>5MHz because at least small UL allocations can be scheduled without requiring power back-off</w:t>
      </w:r>
      <w:r>
        <w:t>.</w:t>
      </w:r>
      <w:r w:rsidR="00812E81">
        <w:t xml:space="preserve"> The remaining channels can be either 5 or 10MHz, whereupon even large UL allocations can be used.</w:t>
      </w:r>
    </w:p>
    <w:p w14:paraId="482738CE" w14:textId="454EB24E" w:rsidR="009C1FD6" w:rsidRDefault="000B51EC" w:rsidP="00812E81">
      <w:pPr>
        <w:pStyle w:val="B1"/>
      </w:pPr>
      <w:r>
        <w:t>-</w:t>
      </w:r>
      <w:r>
        <w:tab/>
      </w:r>
      <w:r w:rsidR="00812E81">
        <w:rPr>
          <w:i/>
          <w:iCs/>
        </w:rPr>
        <w:t>5+15MHz</w:t>
      </w:r>
      <w:r>
        <w:t xml:space="preserve">. </w:t>
      </w:r>
      <w:r w:rsidR="00812E81">
        <w:t>In this option the leftmost channel is also 5MHz followed by the 15MHz channel</w:t>
      </w:r>
      <w:r>
        <w:t>.</w:t>
      </w:r>
      <w:r w:rsidR="00812E81">
        <w:t xml:space="preserve"> </w:t>
      </w:r>
      <w:r w:rsidR="00E54930">
        <w:t>While the</w:t>
      </w:r>
      <w:r w:rsidR="00812E81">
        <w:t xml:space="preserve"> edge allocations of the 15MHz channel are not likely to be scheduled</w:t>
      </w:r>
      <w:r w:rsidR="00E54930">
        <w:t xml:space="preserve"> in UL</w:t>
      </w:r>
      <w:r w:rsidR="00812E81">
        <w:t xml:space="preserve"> because of the required power back-off, there is a contiguous block of around 60RBs, which provides more scheduling flexibility for the network to balance resources between UEs. </w:t>
      </w:r>
      <w:r w:rsidR="00E54930">
        <w:t xml:space="preserve">In DL, however, all RBs can be used for scheduling. </w:t>
      </w:r>
      <w:r w:rsidR="00812E81">
        <w:t xml:space="preserve">If an operator deploys not only NR, but also NB-IOT and/or LTE </w:t>
      </w:r>
      <w:proofErr w:type="spellStart"/>
      <w:r w:rsidR="00812E81">
        <w:t>CatM</w:t>
      </w:r>
      <w:proofErr w:type="spellEnd"/>
      <w:r w:rsidR="00812E81">
        <w:t xml:space="preserve">, then dynamic spectrum sharing can be used in edge RBs of the 15MHz channel. </w:t>
      </w:r>
      <w:r>
        <w:t xml:space="preserve"> </w:t>
      </w:r>
      <w:r w:rsidR="009C1FD6">
        <w:t xml:space="preserve"> </w:t>
      </w:r>
    </w:p>
    <w:p w14:paraId="7B172FC0" w14:textId="7C7927B6" w:rsidR="000B51EC" w:rsidRDefault="00C27A92" w:rsidP="008C6A30">
      <w:pPr>
        <w:pStyle w:val="B1"/>
      </w:pPr>
      <w:r>
        <w:t>-</w:t>
      </w:r>
      <w:r>
        <w:tab/>
      </w:r>
      <w:r>
        <w:rPr>
          <w:i/>
          <w:iCs/>
        </w:rPr>
        <w:t>10+10MHz</w:t>
      </w:r>
      <w:r>
        <w:t xml:space="preserve">. In this option the leftmost channel is 10MHz edge allocations of which can be shared with another technology, e.g. LTE </w:t>
      </w:r>
      <w:proofErr w:type="spellStart"/>
      <w:r>
        <w:t>CatM</w:t>
      </w:r>
      <w:proofErr w:type="spellEnd"/>
      <w:r>
        <w:t xml:space="preserve"> or NB-IOT. Two 10MHz channels will provide more scheduling flexibilities for the network </w:t>
      </w:r>
      <w:r w:rsidR="001940B8">
        <w:t xml:space="preserve">when </w:t>
      </w:r>
      <w:r>
        <w:t>compared to 5+5+10MHz.</w:t>
      </w:r>
    </w:p>
    <w:p w14:paraId="5C6542C7" w14:textId="77CE3BE8" w:rsidR="005E41D5" w:rsidRDefault="005E41D5" w:rsidP="00D671FD">
      <w:r w:rsidRPr="005E41D5">
        <w:rPr>
          <w:noProof/>
        </w:rPr>
        <w:drawing>
          <wp:inline distT="0" distB="0" distL="0" distR="0" wp14:anchorId="3DDD2147" wp14:editId="562A2C89">
            <wp:extent cx="6122035" cy="1434465"/>
            <wp:effectExtent l="0" t="0" r="0" b="635"/>
            <wp:docPr id="6496315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631568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434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ABCDA" w14:textId="6FFC1AF2" w:rsidR="005E41D5" w:rsidRDefault="005E41D5" w:rsidP="005E41D5">
      <w:pPr>
        <w:pStyle w:val="TF"/>
      </w:pPr>
      <w:r>
        <w:t>Figure 2.</w:t>
      </w:r>
      <w:r w:rsidR="00670D68">
        <w:t>3</w:t>
      </w:r>
      <w:r>
        <w:t>-1: Exemplary allocation and usage of the NR UL channels to avoid unnecessary power back-off (-40dBm/MHz)</w:t>
      </w:r>
    </w:p>
    <w:p w14:paraId="32E19AB8" w14:textId="77777777" w:rsidR="005E41D5" w:rsidRDefault="005E41D5" w:rsidP="00D671FD"/>
    <w:p w14:paraId="47591CA9" w14:textId="538A5203" w:rsidR="00C119FD" w:rsidRDefault="00C119FD" w:rsidP="00C119FD">
      <w:r>
        <w:t xml:space="preserve">For the -30dBm/MHz protection requirement same considerations for the </w:t>
      </w:r>
      <w:r w:rsidR="00F66303">
        <w:t xml:space="preserve">potential </w:t>
      </w:r>
      <w:r>
        <w:t xml:space="preserve">channel arrangements may apply with the only major difference is that 10MHz </w:t>
      </w:r>
      <w:r w:rsidR="00C3104A">
        <w:t>and</w:t>
      </w:r>
      <w:r>
        <w:t xml:space="preserve"> 15MHz channels may need power back-off only for the left-most edge RBs.  So, possible channel arrangements may look like presented below in Figure 2.3-2.</w:t>
      </w:r>
      <w:r w:rsidR="008C6A30">
        <w:t xml:space="preserve"> If there are other NTN technologies, such as LTE </w:t>
      </w:r>
      <w:proofErr w:type="spellStart"/>
      <w:r w:rsidR="008C6A30">
        <w:t>CatM</w:t>
      </w:r>
      <w:proofErr w:type="spellEnd"/>
      <w:r w:rsidR="008C6A30">
        <w:t xml:space="preserve"> and/or NB-IOT, then DSS can be used in the left-most edge RBs of the corresponding 10 and 15MHz channels.</w:t>
      </w:r>
    </w:p>
    <w:p w14:paraId="64B47CB1" w14:textId="65FFEDD9" w:rsidR="00C119FD" w:rsidRDefault="00C119FD" w:rsidP="00C119FD">
      <w:r w:rsidRPr="00C119FD">
        <w:rPr>
          <w:noProof/>
        </w:rPr>
        <w:lastRenderedPageBreak/>
        <w:drawing>
          <wp:inline distT="0" distB="0" distL="0" distR="0" wp14:anchorId="2654889B" wp14:editId="4EA02018">
            <wp:extent cx="6122035" cy="1052195"/>
            <wp:effectExtent l="0" t="0" r="0" b="1905"/>
            <wp:docPr id="21065933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59333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05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96453" w14:textId="739F7C4C" w:rsidR="00C119FD" w:rsidRDefault="00C119FD" w:rsidP="00C119FD">
      <w:pPr>
        <w:pStyle w:val="TF"/>
      </w:pPr>
      <w:r>
        <w:t>Figure 2.3-2</w:t>
      </w:r>
      <w:r w:rsidR="00881CD0">
        <w:t>:</w:t>
      </w:r>
      <w:r>
        <w:t xml:space="preserve"> Exemplary allocation and usage of the NR UL channels to avoid unnecessary power back-off (-30dBm/MHz)</w:t>
      </w:r>
    </w:p>
    <w:p w14:paraId="4DD834C4" w14:textId="77777777" w:rsidR="00C119FD" w:rsidRPr="00D671FD" w:rsidRDefault="00C119FD" w:rsidP="00D671FD"/>
    <w:p w14:paraId="34C99636" w14:textId="7917B134" w:rsidR="008E7986" w:rsidRDefault="008E7986" w:rsidP="00E27B54">
      <w:pPr>
        <w:pStyle w:val="Heading1"/>
        <w:keepNext w:val="0"/>
        <w:keepLines w:val="0"/>
      </w:pPr>
      <w:r>
        <w:t>3</w:t>
      </w:r>
      <w:r>
        <w:tab/>
        <w:t>Conclusions</w:t>
      </w:r>
    </w:p>
    <w:p w14:paraId="11C9D6C3" w14:textId="3D3B91D6" w:rsidR="00B81CF7" w:rsidRDefault="00F95CA0" w:rsidP="00F95CA0">
      <w:pPr>
        <w:jc w:val="both"/>
      </w:pPr>
      <w:r>
        <w:t xml:space="preserve">In this discussion paper we presented power back-off simulation results for a UE operating in the UL range of </w:t>
      </w:r>
      <w:r w:rsidRPr="00F95CA0">
        <w:t>2000-2020 MHz</w:t>
      </w:r>
      <w:r>
        <w:t>, i.e. NTN band n252 UL, in presence of the existing requirements to protect band n25 DL</w:t>
      </w:r>
      <w:r w:rsidR="007A297D">
        <w:t xml:space="preserve"> considering two protection limits: -40dBm/MHz and -30dBm/</w:t>
      </w:r>
      <w:proofErr w:type="spellStart"/>
      <w:r w:rsidR="007A297D">
        <w:t>MHz</w:t>
      </w:r>
      <w:r>
        <w:t>.</w:t>
      </w:r>
      <w:proofErr w:type="spellEnd"/>
      <w:r>
        <w:t xml:space="preserve"> </w:t>
      </w:r>
      <w:r w:rsidR="00A00A29">
        <w:t>These</w:t>
      </w:r>
      <w:r>
        <w:t xml:space="preserve"> results can be used for further technical discussions </w:t>
      </w:r>
      <w:r w:rsidR="00A00A29">
        <w:t>on finding a suitable trade-off between the relaxed protection requirement</w:t>
      </w:r>
      <w:r w:rsidR="0026740E">
        <w:t>,</w:t>
      </w:r>
      <w:r w:rsidR="00A00A29">
        <w:t xml:space="preserve"> smaller UL channel bandwidths/allocations</w:t>
      </w:r>
      <w:r w:rsidR="0026740E">
        <w:t xml:space="preserve"> and where the UL channels are configured</w:t>
      </w:r>
      <w:r>
        <w:t>.</w:t>
      </w:r>
    </w:p>
    <w:p w14:paraId="6D0DED47" w14:textId="5C9D18B6" w:rsidR="002D16A6" w:rsidRPr="00F95CA0" w:rsidRDefault="00B12ADA" w:rsidP="00F95CA0">
      <w:pPr>
        <w:jc w:val="both"/>
      </w:pPr>
      <w:r w:rsidRPr="00477364">
        <w:fldChar w:fldCharType="begin"/>
      </w:r>
      <w:r w:rsidRPr="00477364">
        <w:instrText xml:space="preserve"> TOC \n \t "Proposal,1" </w:instrText>
      </w:r>
      <w:r w:rsidRPr="00477364">
        <w:fldChar w:fldCharType="separate"/>
      </w:r>
    </w:p>
    <w:p w14:paraId="0A9AC9A5" w14:textId="7F1A9031" w:rsidR="005041D3" w:rsidRPr="009A598E" w:rsidRDefault="00B12ADA" w:rsidP="00B12ADA">
      <w:pPr>
        <w:pStyle w:val="Heading1"/>
        <w:keepNext w:val="0"/>
        <w:keepLines w:val="0"/>
      </w:pPr>
      <w:r w:rsidRPr="00477364">
        <w:rPr>
          <w:b/>
          <w:bCs/>
        </w:rPr>
        <w:fldChar w:fldCharType="end"/>
      </w:r>
      <w:r w:rsidR="009A598E">
        <w:t>4</w:t>
      </w:r>
      <w:r w:rsidR="009A598E">
        <w:tab/>
        <w:t>References</w:t>
      </w:r>
    </w:p>
    <w:p w14:paraId="71413AD7" w14:textId="77777777" w:rsidR="00FF5898" w:rsidRPr="004D3578" w:rsidRDefault="00FF5898" w:rsidP="00FF5898">
      <w:pPr>
        <w:pStyle w:val="EX"/>
        <w:numPr>
          <w:ilvl w:val="0"/>
          <w:numId w:val="5"/>
        </w:numPr>
      </w:pPr>
      <w:bookmarkStart w:id="1" w:name="_Ref13820109"/>
      <w:r w:rsidRPr="00804854">
        <w:t>RP-193234</w:t>
      </w:r>
      <w:r>
        <w:t>, "</w:t>
      </w:r>
      <w:r w:rsidRPr="00804854">
        <w:t>Solutions for NR to support non-terrestrial networks (NTN)</w:t>
      </w:r>
      <w:r>
        <w:t>", Thales</w:t>
      </w:r>
      <w:bookmarkEnd w:id="1"/>
    </w:p>
    <w:p w14:paraId="6E7B37CC" w14:textId="77777777" w:rsidR="00FF5898" w:rsidRDefault="00FF5898" w:rsidP="00FF5898">
      <w:pPr>
        <w:pStyle w:val="EX"/>
        <w:numPr>
          <w:ilvl w:val="0"/>
          <w:numId w:val="5"/>
        </w:numPr>
      </w:pPr>
      <w:bookmarkStart w:id="2" w:name="_Ref126142327"/>
      <w:r w:rsidRPr="00F55FAD">
        <w:t>RP-223431</w:t>
      </w:r>
      <w:r>
        <w:t>, "</w:t>
      </w:r>
      <w:r w:rsidRPr="00F55FAD">
        <w:t>New WID on Introduction of the satellite L-/S-band</w:t>
      </w:r>
      <w:r>
        <w:t>", Globalstar, Apple</w:t>
      </w:r>
      <w:bookmarkEnd w:id="2"/>
    </w:p>
    <w:p w14:paraId="0F673C67" w14:textId="6A8C9347" w:rsidR="00B509ED" w:rsidRDefault="00B509ED" w:rsidP="00B509ED">
      <w:pPr>
        <w:pStyle w:val="EX"/>
      </w:pPr>
      <w:bookmarkStart w:id="3" w:name="_Ref178775453"/>
      <w:r w:rsidRPr="00B509ED">
        <w:t>RP-241661, "New WID on Introduction of NR-NTN S-band (MSS band 2000-2020 MHz UL and 2180-2200 MHz DL)", D</w:t>
      </w:r>
      <w:r w:rsidR="00103E6B">
        <w:t>ish</w:t>
      </w:r>
      <w:r w:rsidRPr="00B509ED">
        <w:t xml:space="preserve"> Network, EchoStar, </w:t>
      </w:r>
      <w:proofErr w:type="spellStart"/>
      <w:r w:rsidRPr="00B509ED">
        <w:t>TerreStar</w:t>
      </w:r>
      <w:proofErr w:type="spellEnd"/>
      <w:r w:rsidRPr="00B509ED">
        <w:t xml:space="preserve">, </w:t>
      </w:r>
      <w:proofErr w:type="spellStart"/>
      <w:r w:rsidRPr="00B509ED">
        <w:t>OmniSpace</w:t>
      </w:r>
      <w:proofErr w:type="spellEnd"/>
      <w:r w:rsidRPr="00B509ED">
        <w:t xml:space="preserve">, </w:t>
      </w:r>
      <w:proofErr w:type="spellStart"/>
      <w:r w:rsidRPr="00B509ED">
        <w:t>Telus</w:t>
      </w:r>
      <w:bookmarkEnd w:id="3"/>
      <w:proofErr w:type="spellEnd"/>
    </w:p>
    <w:p w14:paraId="06BB2577" w14:textId="32016276" w:rsidR="008D2E9F" w:rsidRDefault="008D2E9F" w:rsidP="00FF5898">
      <w:pPr>
        <w:pStyle w:val="EX"/>
        <w:numPr>
          <w:ilvl w:val="0"/>
          <w:numId w:val="5"/>
        </w:numPr>
      </w:pPr>
      <w:bookmarkStart w:id="4" w:name="_Ref173831379"/>
      <w:r w:rsidRPr="008D2E9F">
        <w:t>RP-240857</w:t>
      </w:r>
      <w:r>
        <w:t>, "</w:t>
      </w:r>
      <w:r w:rsidRPr="008D2E9F">
        <w:t>New WID: Enhanced requirements and test methodology for NR and IoT NTN</w:t>
      </w:r>
      <w:r>
        <w:t>"</w:t>
      </w:r>
      <w:bookmarkEnd w:id="0"/>
      <w:bookmarkEnd w:id="4"/>
    </w:p>
    <w:p w14:paraId="11A5FC72" w14:textId="6CA3E241" w:rsidR="00D671FD" w:rsidRDefault="00D671FD" w:rsidP="00FF5898">
      <w:pPr>
        <w:pStyle w:val="EX"/>
        <w:numPr>
          <w:ilvl w:val="0"/>
          <w:numId w:val="5"/>
        </w:numPr>
      </w:pPr>
      <w:bookmarkStart w:id="5" w:name="_Ref181968675"/>
      <w:r w:rsidRPr="00D671FD">
        <w:t>R4-2417206</w:t>
      </w:r>
      <w:r>
        <w:t>, "</w:t>
      </w:r>
      <w:r w:rsidRPr="00D671FD">
        <w:t>WF on NTN and IoT-NTN bands</w:t>
      </w:r>
      <w:r>
        <w:t>", Moderator (Inmarsat)</w:t>
      </w:r>
      <w:bookmarkEnd w:id="5"/>
    </w:p>
    <w:p w14:paraId="2339B2C0" w14:textId="77777777" w:rsidR="00070688" w:rsidRDefault="00070688" w:rsidP="00070688">
      <w:pPr>
        <w:pStyle w:val="EX"/>
        <w:numPr>
          <w:ilvl w:val="0"/>
          <w:numId w:val="0"/>
        </w:numPr>
        <w:ind w:left="369" w:hanging="369"/>
      </w:pPr>
    </w:p>
    <w:p w14:paraId="2FBC3AC7" w14:textId="6327B870" w:rsidR="00070688" w:rsidRDefault="00070688">
      <w:pPr>
        <w:spacing w:after="0"/>
      </w:pPr>
      <w:r>
        <w:br w:type="page"/>
      </w:r>
    </w:p>
    <w:p w14:paraId="4D132C88" w14:textId="78C59284" w:rsidR="00070688" w:rsidRDefault="00070688" w:rsidP="00070688">
      <w:pPr>
        <w:pStyle w:val="Heading8"/>
      </w:pPr>
      <w:r>
        <w:lastRenderedPageBreak/>
        <w:t>Annex A: Results for -50dBm/MHz requirement</w:t>
      </w:r>
    </w:p>
    <w:p w14:paraId="45FEB949" w14:textId="77777777" w:rsidR="00070688" w:rsidRDefault="00070688" w:rsidP="00070688"/>
    <w:p w14:paraId="75762044" w14:textId="77777777" w:rsidR="00070688" w:rsidRDefault="00070688" w:rsidP="00070688"/>
    <w:p w14:paraId="4FC0D387" w14:textId="77777777" w:rsidR="00070688" w:rsidRDefault="00070688" w:rsidP="00070688">
      <w:r w:rsidRPr="007026F3">
        <w:rPr>
          <w:noProof/>
        </w:rPr>
        <w:drawing>
          <wp:inline distT="0" distB="0" distL="0" distR="0" wp14:anchorId="473214F2" wp14:editId="0CC8600D">
            <wp:extent cx="1929600" cy="1530000"/>
            <wp:effectExtent l="0" t="0" r="1270" b="0"/>
            <wp:docPr id="1134143360" name="Picture 1" descr="A graph of different colored squar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6272310" name="Picture 1" descr="A graph of different colored squares&#10;&#10;Description automatically generated with medium confidence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929600" cy="153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7026F3">
        <w:rPr>
          <w:noProof/>
        </w:rPr>
        <w:drawing>
          <wp:inline distT="0" distB="0" distL="0" distR="0" wp14:anchorId="1062466D" wp14:editId="7E199D33">
            <wp:extent cx="1922400" cy="1558800"/>
            <wp:effectExtent l="0" t="0" r="0" b="3810"/>
            <wp:docPr id="101540972" name="Picture 1" descr="A graph of different colored squar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908069" name="Picture 1" descr="A graph of different colored squares&#10;&#10;Description automatically generated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922400" cy="1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7026F3">
        <w:rPr>
          <w:noProof/>
        </w:rPr>
        <w:drawing>
          <wp:inline distT="0" distB="0" distL="0" distR="0" wp14:anchorId="6C8EBA1E" wp14:editId="37B0B37E">
            <wp:extent cx="1940400" cy="1558800"/>
            <wp:effectExtent l="0" t="0" r="3175" b="3810"/>
            <wp:docPr id="515646794" name="Picture 1" descr="A graph of a graph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450638" name="Picture 1" descr="A graph of a graph&#10;&#10;Description automatically generated with medium confidence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940400" cy="1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FC194" w14:textId="030FB611" w:rsidR="00070688" w:rsidRDefault="00070688" w:rsidP="00070688">
      <w:pPr>
        <w:pStyle w:val="TH"/>
      </w:pPr>
      <w:r>
        <w:t>Figure A-1: Power back-off values for the 5MHz channel with DFT-s-OFDM</w:t>
      </w:r>
    </w:p>
    <w:p w14:paraId="40D2E3B3" w14:textId="77777777" w:rsidR="00070688" w:rsidRDefault="00070688" w:rsidP="00070688"/>
    <w:p w14:paraId="537C6B86" w14:textId="77777777" w:rsidR="00070688" w:rsidRDefault="00070688" w:rsidP="00070688"/>
    <w:p w14:paraId="6735D72F" w14:textId="77777777" w:rsidR="00070688" w:rsidRDefault="00070688" w:rsidP="00070688">
      <w:r w:rsidRPr="000506CF">
        <w:rPr>
          <w:noProof/>
        </w:rPr>
        <w:drawing>
          <wp:inline distT="0" distB="0" distL="0" distR="0" wp14:anchorId="18847733" wp14:editId="1EA1AF2F">
            <wp:extent cx="2012400" cy="1558800"/>
            <wp:effectExtent l="0" t="0" r="0" b="3810"/>
            <wp:docPr id="981828176" name="Picture 1" descr="A graph of a graph showing different colo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3443568" name="Picture 1" descr="A graph of a graph showing different colors&#10;&#10;Description automatically generated with medium confidence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012400" cy="1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0506CF">
        <w:rPr>
          <w:noProof/>
        </w:rPr>
        <w:drawing>
          <wp:inline distT="0" distB="0" distL="0" distR="0" wp14:anchorId="4B1E21E1" wp14:editId="3BCA5080">
            <wp:extent cx="1908000" cy="1558800"/>
            <wp:effectExtent l="0" t="0" r="0" b="3810"/>
            <wp:docPr id="2144385811" name="Picture 1" descr="A graph of different colo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095736" name="Picture 1" descr="A graph of different colors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155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 w:rsidRPr="000506CF">
        <w:rPr>
          <w:noProof/>
        </w:rPr>
        <w:drawing>
          <wp:inline distT="0" distB="0" distL="0" distR="0" wp14:anchorId="3E9DFE29" wp14:editId="5B7F21B4">
            <wp:extent cx="1875600" cy="1540800"/>
            <wp:effectExtent l="0" t="0" r="4445" b="0"/>
            <wp:docPr id="1642237709" name="Picture 1" descr="A graph of different colo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112171" name="Picture 1" descr="A graph of different colors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875600" cy="154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D084F" w14:textId="2CA3AFF2" w:rsidR="00070688" w:rsidRDefault="00070688" w:rsidP="00070688">
      <w:pPr>
        <w:pStyle w:val="TF"/>
      </w:pPr>
      <w:r>
        <w:t>Figure A-2: Power back-off values for the 10MHz channel with DFT-s-OFDM</w:t>
      </w:r>
    </w:p>
    <w:p w14:paraId="0E57CDD6" w14:textId="77777777" w:rsidR="00070688" w:rsidRDefault="00070688" w:rsidP="00070688"/>
    <w:p w14:paraId="63F60CDA" w14:textId="77777777" w:rsidR="00070688" w:rsidRDefault="00070688" w:rsidP="00070688">
      <w:pPr>
        <w:jc w:val="center"/>
      </w:pPr>
      <w:r w:rsidRPr="00D46DF8">
        <w:rPr>
          <w:noProof/>
        </w:rPr>
        <w:drawing>
          <wp:inline distT="0" distB="0" distL="0" distR="0" wp14:anchorId="550774EE" wp14:editId="281CA1DD">
            <wp:extent cx="1994400" cy="1548000"/>
            <wp:effectExtent l="0" t="0" r="0" b="1905"/>
            <wp:docPr id="119918478" name="Picture 1" descr="A graph of a graph showing a number of colo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7530468" name="Picture 1" descr="A graph of a graph showing a number of colors&#10;&#10;Description automatically generated with medium confidence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994400" cy="15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7EC0C" w14:textId="3EDFBB2E" w:rsidR="00070688" w:rsidRDefault="00070688" w:rsidP="00070688">
      <w:pPr>
        <w:pStyle w:val="TH"/>
      </w:pPr>
      <w:r>
        <w:t>Figure A-3: Power back-off values for the 20MHz channel with DFT-s-OFDM</w:t>
      </w:r>
    </w:p>
    <w:p w14:paraId="2AD699E0" w14:textId="77777777" w:rsidR="00070688" w:rsidRDefault="00070688" w:rsidP="00070688"/>
    <w:p w14:paraId="1524E83A" w14:textId="77777777" w:rsidR="00070688" w:rsidRDefault="00070688" w:rsidP="00070688"/>
    <w:p w14:paraId="124BAE27" w14:textId="77777777" w:rsidR="00070688" w:rsidRPr="00070688" w:rsidRDefault="00070688" w:rsidP="00070688"/>
    <w:sectPr w:rsidR="00070688" w:rsidRPr="00070688" w:rsidSect="004B5470">
      <w:headerReference w:type="default" r:id="rId40"/>
      <w:footerReference w:type="default" r:id="rId41"/>
      <w:footerReference w:type="first" r:id="rId42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titlePg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664E6E" w14:textId="77777777" w:rsidR="00240461" w:rsidRDefault="00240461">
      <w:r>
        <w:separator/>
      </w:r>
    </w:p>
  </w:endnote>
  <w:endnote w:type="continuationSeparator" w:id="0">
    <w:p w14:paraId="1A1E4BDD" w14:textId="77777777" w:rsidR="00240461" w:rsidRDefault="002404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77316" w14:textId="227602B4" w:rsidR="00E72324" w:rsidRDefault="00E72324">
    <w:pPr>
      <w:pStyle w:val="Footer"/>
    </w:pPr>
    <w:r>
      <w:t>Apple Inc.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C448A6" w14:textId="15F358C9" w:rsidR="00114E2C" w:rsidRDefault="00114E2C" w:rsidP="00114E2C">
    <w:pPr>
      <w:pStyle w:val="Footer"/>
    </w:pPr>
    <w:r>
      <w:t>Apple Inc.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E02DCD" w14:textId="77777777" w:rsidR="00240461" w:rsidRDefault="00240461">
      <w:r>
        <w:separator/>
      </w:r>
    </w:p>
  </w:footnote>
  <w:footnote w:type="continuationSeparator" w:id="0">
    <w:p w14:paraId="3CDB7002" w14:textId="77777777" w:rsidR="00240461" w:rsidRDefault="0024046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2833BB" w14:textId="77777777" w:rsidR="00E72324" w:rsidRDefault="00E72324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2FBC6A2" w14:textId="77777777" w:rsidR="00E72324" w:rsidRDefault="00E7232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3AD2C4F"/>
    <w:multiLevelType w:val="hybridMultilevel"/>
    <w:tmpl w:val="FB2A44B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" w15:restartNumberingAfterBreak="0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6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BAE48E1"/>
    <w:multiLevelType w:val="hybridMultilevel"/>
    <w:tmpl w:val="3FA4DB52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A7D4642"/>
    <w:multiLevelType w:val="hybridMultilevel"/>
    <w:tmpl w:val="0DD4D014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4391FBA"/>
    <w:multiLevelType w:val="hybridMultilevel"/>
    <w:tmpl w:val="427AAD10"/>
    <w:lvl w:ilvl="0" w:tplc="DB0849B4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0" w15:restartNumberingAfterBreak="0">
    <w:nsid w:val="67240B0B"/>
    <w:multiLevelType w:val="hybridMultilevel"/>
    <w:tmpl w:val="C436040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11588740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530409281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536360772">
    <w:abstractNumId w:val="1"/>
  </w:num>
  <w:num w:numId="4" w16cid:durableId="811140442">
    <w:abstractNumId w:val="11"/>
  </w:num>
  <w:num w:numId="5" w16cid:durableId="1217669394">
    <w:abstractNumId w:val="2"/>
  </w:num>
  <w:num w:numId="6" w16cid:durableId="605580112">
    <w:abstractNumId w:val="2"/>
  </w:num>
  <w:num w:numId="7" w16cid:durableId="847063367">
    <w:abstractNumId w:val="6"/>
  </w:num>
  <w:num w:numId="8" w16cid:durableId="1615483003">
    <w:abstractNumId w:val="4"/>
  </w:num>
  <w:num w:numId="9" w16cid:durableId="851380668">
    <w:abstractNumId w:val="3"/>
  </w:num>
  <w:num w:numId="10" w16cid:durableId="1065031371">
    <w:abstractNumId w:val="5"/>
  </w:num>
  <w:num w:numId="11" w16cid:durableId="1240287691">
    <w:abstractNumId w:val="8"/>
  </w:num>
  <w:num w:numId="12" w16cid:durableId="1440906995">
    <w:abstractNumId w:val="7"/>
  </w:num>
  <w:num w:numId="13" w16cid:durableId="1987856031">
    <w:abstractNumId w:val="10"/>
  </w:num>
  <w:num w:numId="14" w16cid:durableId="22703629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2B84"/>
    <w:rsid w:val="000037B7"/>
    <w:rsid w:val="00004C0C"/>
    <w:rsid w:val="0000727F"/>
    <w:rsid w:val="00013D4E"/>
    <w:rsid w:val="000168FE"/>
    <w:rsid w:val="00022584"/>
    <w:rsid w:val="00024025"/>
    <w:rsid w:val="00025132"/>
    <w:rsid w:val="00026A8F"/>
    <w:rsid w:val="0003171C"/>
    <w:rsid w:val="00033397"/>
    <w:rsid w:val="00033F3B"/>
    <w:rsid w:val="000340EB"/>
    <w:rsid w:val="00040095"/>
    <w:rsid w:val="000430DD"/>
    <w:rsid w:val="000462FF"/>
    <w:rsid w:val="000506CF"/>
    <w:rsid w:val="00050D5E"/>
    <w:rsid w:val="00051834"/>
    <w:rsid w:val="000518D2"/>
    <w:rsid w:val="00052A65"/>
    <w:rsid w:val="00052D38"/>
    <w:rsid w:val="00054A22"/>
    <w:rsid w:val="00062023"/>
    <w:rsid w:val="000621AE"/>
    <w:rsid w:val="000629F8"/>
    <w:rsid w:val="00062B99"/>
    <w:rsid w:val="000655A6"/>
    <w:rsid w:val="00070688"/>
    <w:rsid w:val="00070D52"/>
    <w:rsid w:val="0007444D"/>
    <w:rsid w:val="0007793C"/>
    <w:rsid w:val="00080512"/>
    <w:rsid w:val="0008490B"/>
    <w:rsid w:val="00084DB8"/>
    <w:rsid w:val="00085B26"/>
    <w:rsid w:val="000900F3"/>
    <w:rsid w:val="000917BE"/>
    <w:rsid w:val="00093952"/>
    <w:rsid w:val="00093F11"/>
    <w:rsid w:val="00094907"/>
    <w:rsid w:val="00096C65"/>
    <w:rsid w:val="00097675"/>
    <w:rsid w:val="00097A46"/>
    <w:rsid w:val="000A2DDD"/>
    <w:rsid w:val="000A365D"/>
    <w:rsid w:val="000A36E3"/>
    <w:rsid w:val="000A44B6"/>
    <w:rsid w:val="000A530C"/>
    <w:rsid w:val="000A68F3"/>
    <w:rsid w:val="000A7A0F"/>
    <w:rsid w:val="000B0001"/>
    <w:rsid w:val="000B3699"/>
    <w:rsid w:val="000B51EC"/>
    <w:rsid w:val="000B5B22"/>
    <w:rsid w:val="000B6FC9"/>
    <w:rsid w:val="000C023C"/>
    <w:rsid w:val="000C0D87"/>
    <w:rsid w:val="000C1D24"/>
    <w:rsid w:val="000C2808"/>
    <w:rsid w:val="000C47C3"/>
    <w:rsid w:val="000C7248"/>
    <w:rsid w:val="000C7F55"/>
    <w:rsid w:val="000D06A6"/>
    <w:rsid w:val="000D28CD"/>
    <w:rsid w:val="000D5095"/>
    <w:rsid w:val="000D58AB"/>
    <w:rsid w:val="000D7B92"/>
    <w:rsid w:val="000E023D"/>
    <w:rsid w:val="000E3ACF"/>
    <w:rsid w:val="000F5ABE"/>
    <w:rsid w:val="000F5F19"/>
    <w:rsid w:val="001032BC"/>
    <w:rsid w:val="00103E6B"/>
    <w:rsid w:val="00104BC6"/>
    <w:rsid w:val="00105023"/>
    <w:rsid w:val="001064E7"/>
    <w:rsid w:val="00106BF6"/>
    <w:rsid w:val="00106D24"/>
    <w:rsid w:val="0011478B"/>
    <w:rsid w:val="00114E2C"/>
    <w:rsid w:val="00115165"/>
    <w:rsid w:val="00115A87"/>
    <w:rsid w:val="00117B20"/>
    <w:rsid w:val="00120DC1"/>
    <w:rsid w:val="00122E3B"/>
    <w:rsid w:val="00131646"/>
    <w:rsid w:val="00133525"/>
    <w:rsid w:val="001378AC"/>
    <w:rsid w:val="00141DDF"/>
    <w:rsid w:val="001449DB"/>
    <w:rsid w:val="001502E3"/>
    <w:rsid w:val="00150344"/>
    <w:rsid w:val="001527DF"/>
    <w:rsid w:val="00153861"/>
    <w:rsid w:val="0015733E"/>
    <w:rsid w:val="00161A9C"/>
    <w:rsid w:val="00162B64"/>
    <w:rsid w:val="00162F54"/>
    <w:rsid w:val="00164651"/>
    <w:rsid w:val="00167CB6"/>
    <w:rsid w:val="00171755"/>
    <w:rsid w:val="00176C55"/>
    <w:rsid w:val="00177BF7"/>
    <w:rsid w:val="0018138C"/>
    <w:rsid w:val="00181F79"/>
    <w:rsid w:val="001825A5"/>
    <w:rsid w:val="001932FD"/>
    <w:rsid w:val="001940B8"/>
    <w:rsid w:val="001940D3"/>
    <w:rsid w:val="00194641"/>
    <w:rsid w:val="00197AEF"/>
    <w:rsid w:val="00197FDE"/>
    <w:rsid w:val="001A1D47"/>
    <w:rsid w:val="001A249A"/>
    <w:rsid w:val="001A4C42"/>
    <w:rsid w:val="001A5579"/>
    <w:rsid w:val="001B1440"/>
    <w:rsid w:val="001B34D7"/>
    <w:rsid w:val="001B34EC"/>
    <w:rsid w:val="001B55F3"/>
    <w:rsid w:val="001B58DA"/>
    <w:rsid w:val="001B6C60"/>
    <w:rsid w:val="001C21C3"/>
    <w:rsid w:val="001D02C2"/>
    <w:rsid w:val="001D03D7"/>
    <w:rsid w:val="001D3AF9"/>
    <w:rsid w:val="001D5F7C"/>
    <w:rsid w:val="001D6D52"/>
    <w:rsid w:val="001D6FE0"/>
    <w:rsid w:val="001D7E7C"/>
    <w:rsid w:val="001E11D4"/>
    <w:rsid w:val="001E21EA"/>
    <w:rsid w:val="001E44ED"/>
    <w:rsid w:val="001E4F2C"/>
    <w:rsid w:val="001F0C1D"/>
    <w:rsid w:val="001F1132"/>
    <w:rsid w:val="001F168B"/>
    <w:rsid w:val="001F529E"/>
    <w:rsid w:val="001F5781"/>
    <w:rsid w:val="001F7D60"/>
    <w:rsid w:val="001F7F82"/>
    <w:rsid w:val="00200328"/>
    <w:rsid w:val="00203852"/>
    <w:rsid w:val="002038BC"/>
    <w:rsid w:val="00203F71"/>
    <w:rsid w:val="00204BA8"/>
    <w:rsid w:val="00205BC2"/>
    <w:rsid w:val="00215DAD"/>
    <w:rsid w:val="0021693C"/>
    <w:rsid w:val="002347A2"/>
    <w:rsid w:val="002349A1"/>
    <w:rsid w:val="00234D6F"/>
    <w:rsid w:val="002361C7"/>
    <w:rsid w:val="00240461"/>
    <w:rsid w:val="002430C5"/>
    <w:rsid w:val="0024429F"/>
    <w:rsid w:val="002448D4"/>
    <w:rsid w:val="0024493C"/>
    <w:rsid w:val="00247926"/>
    <w:rsid w:val="00250D2B"/>
    <w:rsid w:val="002510A7"/>
    <w:rsid w:val="00252476"/>
    <w:rsid w:val="0025773F"/>
    <w:rsid w:val="002616A3"/>
    <w:rsid w:val="002649BE"/>
    <w:rsid w:val="00265121"/>
    <w:rsid w:val="00266CEF"/>
    <w:rsid w:val="0026740E"/>
    <w:rsid w:val="002675F0"/>
    <w:rsid w:val="00270751"/>
    <w:rsid w:val="00276720"/>
    <w:rsid w:val="00276EE4"/>
    <w:rsid w:val="0028060A"/>
    <w:rsid w:val="00282556"/>
    <w:rsid w:val="0028458C"/>
    <w:rsid w:val="00285549"/>
    <w:rsid w:val="00285B74"/>
    <w:rsid w:val="00293332"/>
    <w:rsid w:val="002A006D"/>
    <w:rsid w:val="002A02C9"/>
    <w:rsid w:val="002A3F44"/>
    <w:rsid w:val="002A4198"/>
    <w:rsid w:val="002A4457"/>
    <w:rsid w:val="002A76C8"/>
    <w:rsid w:val="002A79F8"/>
    <w:rsid w:val="002B0881"/>
    <w:rsid w:val="002B1504"/>
    <w:rsid w:val="002B4E57"/>
    <w:rsid w:val="002B6339"/>
    <w:rsid w:val="002C3FD9"/>
    <w:rsid w:val="002C5078"/>
    <w:rsid w:val="002C5A06"/>
    <w:rsid w:val="002D16A6"/>
    <w:rsid w:val="002D207F"/>
    <w:rsid w:val="002D2630"/>
    <w:rsid w:val="002D4C09"/>
    <w:rsid w:val="002D7E68"/>
    <w:rsid w:val="002E00EE"/>
    <w:rsid w:val="002E24A2"/>
    <w:rsid w:val="002E2B0B"/>
    <w:rsid w:val="002E4080"/>
    <w:rsid w:val="002F662D"/>
    <w:rsid w:val="002F6BE3"/>
    <w:rsid w:val="002F6F2B"/>
    <w:rsid w:val="002F747C"/>
    <w:rsid w:val="0030293A"/>
    <w:rsid w:val="003040C1"/>
    <w:rsid w:val="00304790"/>
    <w:rsid w:val="00304DE1"/>
    <w:rsid w:val="00305671"/>
    <w:rsid w:val="00305920"/>
    <w:rsid w:val="0031301F"/>
    <w:rsid w:val="003131E0"/>
    <w:rsid w:val="0031353C"/>
    <w:rsid w:val="003136A6"/>
    <w:rsid w:val="00316AE1"/>
    <w:rsid w:val="00317127"/>
    <w:rsid w:val="003172DC"/>
    <w:rsid w:val="003224F0"/>
    <w:rsid w:val="0032260E"/>
    <w:rsid w:val="00322A0B"/>
    <w:rsid w:val="00322C0B"/>
    <w:rsid w:val="00323B17"/>
    <w:rsid w:val="00326299"/>
    <w:rsid w:val="00334135"/>
    <w:rsid w:val="00334617"/>
    <w:rsid w:val="00335709"/>
    <w:rsid w:val="003378AE"/>
    <w:rsid w:val="00340356"/>
    <w:rsid w:val="0034052F"/>
    <w:rsid w:val="00342BE4"/>
    <w:rsid w:val="00344627"/>
    <w:rsid w:val="00344A6C"/>
    <w:rsid w:val="00345757"/>
    <w:rsid w:val="0035462D"/>
    <w:rsid w:val="003601DF"/>
    <w:rsid w:val="00362028"/>
    <w:rsid w:val="00364C39"/>
    <w:rsid w:val="00364DB5"/>
    <w:rsid w:val="00366323"/>
    <w:rsid w:val="00370606"/>
    <w:rsid w:val="0037554F"/>
    <w:rsid w:val="003765B8"/>
    <w:rsid w:val="00376964"/>
    <w:rsid w:val="00376ADC"/>
    <w:rsid w:val="00383354"/>
    <w:rsid w:val="003860C9"/>
    <w:rsid w:val="0039394E"/>
    <w:rsid w:val="003944B2"/>
    <w:rsid w:val="00394647"/>
    <w:rsid w:val="00395441"/>
    <w:rsid w:val="00396104"/>
    <w:rsid w:val="00396119"/>
    <w:rsid w:val="003A0483"/>
    <w:rsid w:val="003A0541"/>
    <w:rsid w:val="003A4243"/>
    <w:rsid w:val="003A5C0D"/>
    <w:rsid w:val="003A6046"/>
    <w:rsid w:val="003B07F2"/>
    <w:rsid w:val="003B47E1"/>
    <w:rsid w:val="003B4BAF"/>
    <w:rsid w:val="003B5ABB"/>
    <w:rsid w:val="003B6864"/>
    <w:rsid w:val="003C15C2"/>
    <w:rsid w:val="003C3971"/>
    <w:rsid w:val="003C44E8"/>
    <w:rsid w:val="003C65F9"/>
    <w:rsid w:val="003D17F9"/>
    <w:rsid w:val="003D2F2E"/>
    <w:rsid w:val="003D6351"/>
    <w:rsid w:val="003E249B"/>
    <w:rsid w:val="003E390C"/>
    <w:rsid w:val="003E7753"/>
    <w:rsid w:val="003F4198"/>
    <w:rsid w:val="003F59B1"/>
    <w:rsid w:val="003F67A7"/>
    <w:rsid w:val="003F68E6"/>
    <w:rsid w:val="00400A77"/>
    <w:rsid w:val="004012FF"/>
    <w:rsid w:val="00410303"/>
    <w:rsid w:val="004161BB"/>
    <w:rsid w:val="00416AC7"/>
    <w:rsid w:val="0042139E"/>
    <w:rsid w:val="00421933"/>
    <w:rsid w:val="0042311F"/>
    <w:rsid w:val="00423334"/>
    <w:rsid w:val="00424A4D"/>
    <w:rsid w:val="00430D10"/>
    <w:rsid w:val="00434540"/>
    <w:rsid w:val="004345EC"/>
    <w:rsid w:val="00434E7E"/>
    <w:rsid w:val="00443B1F"/>
    <w:rsid w:val="004509C1"/>
    <w:rsid w:val="0045109D"/>
    <w:rsid w:val="004517D4"/>
    <w:rsid w:val="00453AE1"/>
    <w:rsid w:val="00461B71"/>
    <w:rsid w:val="00463255"/>
    <w:rsid w:val="004634D0"/>
    <w:rsid w:val="0046714E"/>
    <w:rsid w:val="00467D7B"/>
    <w:rsid w:val="00467E11"/>
    <w:rsid w:val="004709C4"/>
    <w:rsid w:val="00471AE2"/>
    <w:rsid w:val="00476248"/>
    <w:rsid w:val="004826A9"/>
    <w:rsid w:val="004837BD"/>
    <w:rsid w:val="00485965"/>
    <w:rsid w:val="0048636D"/>
    <w:rsid w:val="004865B0"/>
    <w:rsid w:val="00487E97"/>
    <w:rsid w:val="004909BB"/>
    <w:rsid w:val="0049129B"/>
    <w:rsid w:val="004A37DE"/>
    <w:rsid w:val="004A562B"/>
    <w:rsid w:val="004B09FC"/>
    <w:rsid w:val="004B12D6"/>
    <w:rsid w:val="004B3E42"/>
    <w:rsid w:val="004B5470"/>
    <w:rsid w:val="004B6798"/>
    <w:rsid w:val="004C0A2E"/>
    <w:rsid w:val="004C1601"/>
    <w:rsid w:val="004C3099"/>
    <w:rsid w:val="004C38A8"/>
    <w:rsid w:val="004C7B37"/>
    <w:rsid w:val="004D17C9"/>
    <w:rsid w:val="004D3578"/>
    <w:rsid w:val="004E213A"/>
    <w:rsid w:val="004E2D77"/>
    <w:rsid w:val="004E38CC"/>
    <w:rsid w:val="004E39C4"/>
    <w:rsid w:val="004E54A2"/>
    <w:rsid w:val="004E5703"/>
    <w:rsid w:val="004E7494"/>
    <w:rsid w:val="004E7FD6"/>
    <w:rsid w:val="004F0988"/>
    <w:rsid w:val="004F1928"/>
    <w:rsid w:val="004F29F1"/>
    <w:rsid w:val="004F3340"/>
    <w:rsid w:val="004F3E3D"/>
    <w:rsid w:val="004F486C"/>
    <w:rsid w:val="004F6857"/>
    <w:rsid w:val="004F78EB"/>
    <w:rsid w:val="004F7B0A"/>
    <w:rsid w:val="00500EE3"/>
    <w:rsid w:val="005041D3"/>
    <w:rsid w:val="00507DB2"/>
    <w:rsid w:val="00513C82"/>
    <w:rsid w:val="00514C6F"/>
    <w:rsid w:val="005167FF"/>
    <w:rsid w:val="00517C50"/>
    <w:rsid w:val="00521C1D"/>
    <w:rsid w:val="00523464"/>
    <w:rsid w:val="00524449"/>
    <w:rsid w:val="00524F5B"/>
    <w:rsid w:val="00524FC0"/>
    <w:rsid w:val="005255F0"/>
    <w:rsid w:val="0053388B"/>
    <w:rsid w:val="00535045"/>
    <w:rsid w:val="00535773"/>
    <w:rsid w:val="00535820"/>
    <w:rsid w:val="00535EF5"/>
    <w:rsid w:val="0053790B"/>
    <w:rsid w:val="00540C1F"/>
    <w:rsid w:val="0054158B"/>
    <w:rsid w:val="00541C18"/>
    <w:rsid w:val="00543E6C"/>
    <w:rsid w:val="005500AC"/>
    <w:rsid w:val="00550D79"/>
    <w:rsid w:val="0055283D"/>
    <w:rsid w:val="00554492"/>
    <w:rsid w:val="00554F74"/>
    <w:rsid w:val="00555910"/>
    <w:rsid w:val="00557742"/>
    <w:rsid w:val="0055777A"/>
    <w:rsid w:val="005618B2"/>
    <w:rsid w:val="00562973"/>
    <w:rsid w:val="00565087"/>
    <w:rsid w:val="0056676A"/>
    <w:rsid w:val="0057261C"/>
    <w:rsid w:val="00572A94"/>
    <w:rsid w:val="00572E14"/>
    <w:rsid w:val="00574533"/>
    <w:rsid w:val="005759F9"/>
    <w:rsid w:val="005767D7"/>
    <w:rsid w:val="005837C8"/>
    <w:rsid w:val="005861FD"/>
    <w:rsid w:val="00590D4B"/>
    <w:rsid w:val="0059102D"/>
    <w:rsid w:val="00591F72"/>
    <w:rsid w:val="00592DE0"/>
    <w:rsid w:val="00594E31"/>
    <w:rsid w:val="0059619E"/>
    <w:rsid w:val="005973BE"/>
    <w:rsid w:val="00597F10"/>
    <w:rsid w:val="005A0754"/>
    <w:rsid w:val="005A184B"/>
    <w:rsid w:val="005A49AA"/>
    <w:rsid w:val="005A5986"/>
    <w:rsid w:val="005B1383"/>
    <w:rsid w:val="005B2B6A"/>
    <w:rsid w:val="005B2F7C"/>
    <w:rsid w:val="005B35AC"/>
    <w:rsid w:val="005B5018"/>
    <w:rsid w:val="005B5923"/>
    <w:rsid w:val="005C13CE"/>
    <w:rsid w:val="005C5712"/>
    <w:rsid w:val="005C6D6D"/>
    <w:rsid w:val="005C7D64"/>
    <w:rsid w:val="005D0294"/>
    <w:rsid w:val="005D27B5"/>
    <w:rsid w:val="005D2E01"/>
    <w:rsid w:val="005D4624"/>
    <w:rsid w:val="005D52B4"/>
    <w:rsid w:val="005D5574"/>
    <w:rsid w:val="005D5BCA"/>
    <w:rsid w:val="005D620E"/>
    <w:rsid w:val="005D7526"/>
    <w:rsid w:val="005E0910"/>
    <w:rsid w:val="005E1B49"/>
    <w:rsid w:val="005E3233"/>
    <w:rsid w:val="005E3496"/>
    <w:rsid w:val="005E41D5"/>
    <w:rsid w:val="005E5E5E"/>
    <w:rsid w:val="005E69AE"/>
    <w:rsid w:val="005F1C45"/>
    <w:rsid w:val="005F3283"/>
    <w:rsid w:val="005F388A"/>
    <w:rsid w:val="005F3E4E"/>
    <w:rsid w:val="005F5463"/>
    <w:rsid w:val="005F6F36"/>
    <w:rsid w:val="005F7035"/>
    <w:rsid w:val="00600F4B"/>
    <w:rsid w:val="00602AEA"/>
    <w:rsid w:val="00607E3C"/>
    <w:rsid w:val="00612410"/>
    <w:rsid w:val="00614E37"/>
    <w:rsid w:val="00614FDF"/>
    <w:rsid w:val="00621074"/>
    <w:rsid w:val="006212AD"/>
    <w:rsid w:val="006246A7"/>
    <w:rsid w:val="0062595A"/>
    <w:rsid w:val="0063543D"/>
    <w:rsid w:val="0063688C"/>
    <w:rsid w:val="006369F5"/>
    <w:rsid w:val="00636C1B"/>
    <w:rsid w:val="00642297"/>
    <w:rsid w:val="00645891"/>
    <w:rsid w:val="00645B80"/>
    <w:rsid w:val="006470CB"/>
    <w:rsid w:val="00647114"/>
    <w:rsid w:val="00650557"/>
    <w:rsid w:val="00652E54"/>
    <w:rsid w:val="006546A3"/>
    <w:rsid w:val="006633B2"/>
    <w:rsid w:val="00667FCD"/>
    <w:rsid w:val="00670D68"/>
    <w:rsid w:val="0067193B"/>
    <w:rsid w:val="00673EF2"/>
    <w:rsid w:val="006777F3"/>
    <w:rsid w:val="00677B76"/>
    <w:rsid w:val="006800C1"/>
    <w:rsid w:val="00682719"/>
    <w:rsid w:val="00690E24"/>
    <w:rsid w:val="00691014"/>
    <w:rsid w:val="00692B48"/>
    <w:rsid w:val="00695ACB"/>
    <w:rsid w:val="0069676C"/>
    <w:rsid w:val="006974B3"/>
    <w:rsid w:val="006A323F"/>
    <w:rsid w:val="006A4C43"/>
    <w:rsid w:val="006A5B00"/>
    <w:rsid w:val="006B30D0"/>
    <w:rsid w:val="006B7D66"/>
    <w:rsid w:val="006C2B4C"/>
    <w:rsid w:val="006C351C"/>
    <w:rsid w:val="006C3B46"/>
    <w:rsid w:val="006C3D95"/>
    <w:rsid w:val="006C5CE0"/>
    <w:rsid w:val="006D012B"/>
    <w:rsid w:val="006D21E5"/>
    <w:rsid w:val="006D493B"/>
    <w:rsid w:val="006D7439"/>
    <w:rsid w:val="006E0125"/>
    <w:rsid w:val="006E0326"/>
    <w:rsid w:val="006E2D06"/>
    <w:rsid w:val="006E58C5"/>
    <w:rsid w:val="006E5C86"/>
    <w:rsid w:val="006F111E"/>
    <w:rsid w:val="006F32C4"/>
    <w:rsid w:val="006F4144"/>
    <w:rsid w:val="006F4483"/>
    <w:rsid w:val="006F7F5A"/>
    <w:rsid w:val="0070019F"/>
    <w:rsid w:val="00700CF5"/>
    <w:rsid w:val="00701BF6"/>
    <w:rsid w:val="007026F3"/>
    <w:rsid w:val="00703061"/>
    <w:rsid w:val="007072BE"/>
    <w:rsid w:val="00713C44"/>
    <w:rsid w:val="0071576F"/>
    <w:rsid w:val="00723101"/>
    <w:rsid w:val="00723949"/>
    <w:rsid w:val="00724089"/>
    <w:rsid w:val="00730928"/>
    <w:rsid w:val="00730A22"/>
    <w:rsid w:val="00730ED4"/>
    <w:rsid w:val="00734A5B"/>
    <w:rsid w:val="00740136"/>
    <w:rsid w:val="0074026F"/>
    <w:rsid w:val="00740674"/>
    <w:rsid w:val="00740A05"/>
    <w:rsid w:val="007413C5"/>
    <w:rsid w:val="007429F6"/>
    <w:rsid w:val="0074370B"/>
    <w:rsid w:val="00743764"/>
    <w:rsid w:val="00743EF3"/>
    <w:rsid w:val="00744E76"/>
    <w:rsid w:val="0074731F"/>
    <w:rsid w:val="00751068"/>
    <w:rsid w:val="00752198"/>
    <w:rsid w:val="00753881"/>
    <w:rsid w:val="007579E3"/>
    <w:rsid w:val="00760AA3"/>
    <w:rsid w:val="00761DA3"/>
    <w:rsid w:val="00764DB5"/>
    <w:rsid w:val="007651E9"/>
    <w:rsid w:val="00767B04"/>
    <w:rsid w:val="00770F6A"/>
    <w:rsid w:val="00771457"/>
    <w:rsid w:val="007716DF"/>
    <w:rsid w:val="00771D94"/>
    <w:rsid w:val="00774DA4"/>
    <w:rsid w:val="00776727"/>
    <w:rsid w:val="00781F0F"/>
    <w:rsid w:val="007822F4"/>
    <w:rsid w:val="00783C23"/>
    <w:rsid w:val="00787A9F"/>
    <w:rsid w:val="00793210"/>
    <w:rsid w:val="00795BC5"/>
    <w:rsid w:val="00796F12"/>
    <w:rsid w:val="007A113D"/>
    <w:rsid w:val="007A297D"/>
    <w:rsid w:val="007A3785"/>
    <w:rsid w:val="007A5A83"/>
    <w:rsid w:val="007B110F"/>
    <w:rsid w:val="007B36EA"/>
    <w:rsid w:val="007B600E"/>
    <w:rsid w:val="007C0A8D"/>
    <w:rsid w:val="007C0E3E"/>
    <w:rsid w:val="007C2BB0"/>
    <w:rsid w:val="007C2CD5"/>
    <w:rsid w:val="007C4428"/>
    <w:rsid w:val="007C5B26"/>
    <w:rsid w:val="007C5D57"/>
    <w:rsid w:val="007C7470"/>
    <w:rsid w:val="007D2FB8"/>
    <w:rsid w:val="007D5C88"/>
    <w:rsid w:val="007D72F1"/>
    <w:rsid w:val="007D7A9D"/>
    <w:rsid w:val="007E0E3E"/>
    <w:rsid w:val="007F0F4A"/>
    <w:rsid w:val="007F3A6D"/>
    <w:rsid w:val="007F6B15"/>
    <w:rsid w:val="00801109"/>
    <w:rsid w:val="0080113F"/>
    <w:rsid w:val="008028A4"/>
    <w:rsid w:val="00802C01"/>
    <w:rsid w:val="00806769"/>
    <w:rsid w:val="00812E81"/>
    <w:rsid w:val="00820B25"/>
    <w:rsid w:val="00822E73"/>
    <w:rsid w:val="0082378A"/>
    <w:rsid w:val="00823B74"/>
    <w:rsid w:val="008272CE"/>
    <w:rsid w:val="00830747"/>
    <w:rsid w:val="008321F9"/>
    <w:rsid w:val="0083542B"/>
    <w:rsid w:val="0084144D"/>
    <w:rsid w:val="00845252"/>
    <w:rsid w:val="0084603C"/>
    <w:rsid w:val="0085063B"/>
    <w:rsid w:val="00850EF7"/>
    <w:rsid w:val="00854961"/>
    <w:rsid w:val="008621D8"/>
    <w:rsid w:val="00863C72"/>
    <w:rsid w:val="00866877"/>
    <w:rsid w:val="00866E39"/>
    <w:rsid w:val="00872482"/>
    <w:rsid w:val="00872DD1"/>
    <w:rsid w:val="008768CA"/>
    <w:rsid w:val="00881CD0"/>
    <w:rsid w:val="00881CD6"/>
    <w:rsid w:val="00883455"/>
    <w:rsid w:val="008843A2"/>
    <w:rsid w:val="0088453B"/>
    <w:rsid w:val="00884D7F"/>
    <w:rsid w:val="0089167B"/>
    <w:rsid w:val="00894AB0"/>
    <w:rsid w:val="00895C41"/>
    <w:rsid w:val="00896799"/>
    <w:rsid w:val="008A460F"/>
    <w:rsid w:val="008A485A"/>
    <w:rsid w:val="008A7859"/>
    <w:rsid w:val="008A787C"/>
    <w:rsid w:val="008A7A83"/>
    <w:rsid w:val="008B1D7D"/>
    <w:rsid w:val="008B209A"/>
    <w:rsid w:val="008B289B"/>
    <w:rsid w:val="008B4016"/>
    <w:rsid w:val="008B6A59"/>
    <w:rsid w:val="008C1CE0"/>
    <w:rsid w:val="008C384C"/>
    <w:rsid w:val="008C3FF6"/>
    <w:rsid w:val="008C45AE"/>
    <w:rsid w:val="008C6A30"/>
    <w:rsid w:val="008D04DD"/>
    <w:rsid w:val="008D1D1C"/>
    <w:rsid w:val="008D2E9F"/>
    <w:rsid w:val="008D41E2"/>
    <w:rsid w:val="008D588A"/>
    <w:rsid w:val="008D7F80"/>
    <w:rsid w:val="008E3D0D"/>
    <w:rsid w:val="008E7986"/>
    <w:rsid w:val="008F0D3D"/>
    <w:rsid w:val="008F0E85"/>
    <w:rsid w:val="008F2044"/>
    <w:rsid w:val="008F3CDD"/>
    <w:rsid w:val="0090271F"/>
    <w:rsid w:val="00902E23"/>
    <w:rsid w:val="009030F1"/>
    <w:rsid w:val="009035DB"/>
    <w:rsid w:val="00903EF6"/>
    <w:rsid w:val="009076EE"/>
    <w:rsid w:val="00910BC7"/>
    <w:rsid w:val="00911145"/>
    <w:rsid w:val="009114D7"/>
    <w:rsid w:val="00912C69"/>
    <w:rsid w:val="0091348E"/>
    <w:rsid w:val="00913AC2"/>
    <w:rsid w:val="00914CEF"/>
    <w:rsid w:val="00914DDA"/>
    <w:rsid w:val="00917CCB"/>
    <w:rsid w:val="009205B7"/>
    <w:rsid w:val="00920C02"/>
    <w:rsid w:val="009219A3"/>
    <w:rsid w:val="0092285B"/>
    <w:rsid w:val="00922D05"/>
    <w:rsid w:val="009279B4"/>
    <w:rsid w:val="00931553"/>
    <w:rsid w:val="00935D71"/>
    <w:rsid w:val="00940D43"/>
    <w:rsid w:val="009415AC"/>
    <w:rsid w:val="00942EC2"/>
    <w:rsid w:val="0094373D"/>
    <w:rsid w:val="00945132"/>
    <w:rsid w:val="00945B01"/>
    <w:rsid w:val="009516F6"/>
    <w:rsid w:val="00951A2E"/>
    <w:rsid w:val="00955C25"/>
    <w:rsid w:val="0095616A"/>
    <w:rsid w:val="0095641F"/>
    <w:rsid w:val="00960253"/>
    <w:rsid w:val="00960E66"/>
    <w:rsid w:val="00966007"/>
    <w:rsid w:val="00967996"/>
    <w:rsid w:val="009708E0"/>
    <w:rsid w:val="009755A8"/>
    <w:rsid w:val="0098250D"/>
    <w:rsid w:val="00983F34"/>
    <w:rsid w:val="009854FC"/>
    <w:rsid w:val="009860B5"/>
    <w:rsid w:val="009872C5"/>
    <w:rsid w:val="009910D7"/>
    <w:rsid w:val="0099175A"/>
    <w:rsid w:val="00992F90"/>
    <w:rsid w:val="009945E1"/>
    <w:rsid w:val="00996490"/>
    <w:rsid w:val="009A1316"/>
    <w:rsid w:val="009A40B3"/>
    <w:rsid w:val="009A598E"/>
    <w:rsid w:val="009B1DBF"/>
    <w:rsid w:val="009B2332"/>
    <w:rsid w:val="009B402C"/>
    <w:rsid w:val="009B65C0"/>
    <w:rsid w:val="009C067E"/>
    <w:rsid w:val="009C1FD6"/>
    <w:rsid w:val="009C2464"/>
    <w:rsid w:val="009C2C1B"/>
    <w:rsid w:val="009C5E4C"/>
    <w:rsid w:val="009D3B48"/>
    <w:rsid w:val="009D3F00"/>
    <w:rsid w:val="009E2C61"/>
    <w:rsid w:val="009E3057"/>
    <w:rsid w:val="009E3306"/>
    <w:rsid w:val="009E4032"/>
    <w:rsid w:val="009E7750"/>
    <w:rsid w:val="009F10E5"/>
    <w:rsid w:val="009F37B7"/>
    <w:rsid w:val="009F5009"/>
    <w:rsid w:val="009F55B3"/>
    <w:rsid w:val="009F5E43"/>
    <w:rsid w:val="009F6E2F"/>
    <w:rsid w:val="00A00A29"/>
    <w:rsid w:val="00A00F77"/>
    <w:rsid w:val="00A01247"/>
    <w:rsid w:val="00A05AB6"/>
    <w:rsid w:val="00A06A65"/>
    <w:rsid w:val="00A06CA4"/>
    <w:rsid w:val="00A103D8"/>
    <w:rsid w:val="00A108F9"/>
    <w:rsid w:val="00A10F02"/>
    <w:rsid w:val="00A12136"/>
    <w:rsid w:val="00A1260C"/>
    <w:rsid w:val="00A15BD4"/>
    <w:rsid w:val="00A164B4"/>
    <w:rsid w:val="00A17706"/>
    <w:rsid w:val="00A200FA"/>
    <w:rsid w:val="00A20B73"/>
    <w:rsid w:val="00A22C25"/>
    <w:rsid w:val="00A243C8"/>
    <w:rsid w:val="00A26956"/>
    <w:rsid w:val="00A26B8E"/>
    <w:rsid w:val="00A27CF6"/>
    <w:rsid w:val="00A309A6"/>
    <w:rsid w:val="00A3236C"/>
    <w:rsid w:val="00A32451"/>
    <w:rsid w:val="00A36357"/>
    <w:rsid w:val="00A42D4C"/>
    <w:rsid w:val="00A4526E"/>
    <w:rsid w:val="00A475ED"/>
    <w:rsid w:val="00A5077F"/>
    <w:rsid w:val="00A52241"/>
    <w:rsid w:val="00A529B2"/>
    <w:rsid w:val="00A53724"/>
    <w:rsid w:val="00A54887"/>
    <w:rsid w:val="00A556DB"/>
    <w:rsid w:val="00A63895"/>
    <w:rsid w:val="00A6585D"/>
    <w:rsid w:val="00A6586F"/>
    <w:rsid w:val="00A66D34"/>
    <w:rsid w:val="00A73129"/>
    <w:rsid w:val="00A75F77"/>
    <w:rsid w:val="00A801B4"/>
    <w:rsid w:val="00A814E0"/>
    <w:rsid w:val="00A81515"/>
    <w:rsid w:val="00A8227B"/>
    <w:rsid w:val="00A82346"/>
    <w:rsid w:val="00A86DA6"/>
    <w:rsid w:val="00A90AB9"/>
    <w:rsid w:val="00A92BA1"/>
    <w:rsid w:val="00A93F67"/>
    <w:rsid w:val="00A9582B"/>
    <w:rsid w:val="00AA0A82"/>
    <w:rsid w:val="00AB0E32"/>
    <w:rsid w:val="00AB2852"/>
    <w:rsid w:val="00AB3AF4"/>
    <w:rsid w:val="00AC176F"/>
    <w:rsid w:val="00AC30FF"/>
    <w:rsid w:val="00AC3A0D"/>
    <w:rsid w:val="00AC3F6A"/>
    <w:rsid w:val="00AC4113"/>
    <w:rsid w:val="00AC6BC6"/>
    <w:rsid w:val="00AD1F6C"/>
    <w:rsid w:val="00AD30A9"/>
    <w:rsid w:val="00AD32F4"/>
    <w:rsid w:val="00AD3CE6"/>
    <w:rsid w:val="00AD7733"/>
    <w:rsid w:val="00AE24D1"/>
    <w:rsid w:val="00AE2C35"/>
    <w:rsid w:val="00AE2CF3"/>
    <w:rsid w:val="00AE3039"/>
    <w:rsid w:val="00AE3797"/>
    <w:rsid w:val="00AE6DAB"/>
    <w:rsid w:val="00AF0800"/>
    <w:rsid w:val="00AF4E68"/>
    <w:rsid w:val="00AF6C6F"/>
    <w:rsid w:val="00AF7A5E"/>
    <w:rsid w:val="00B01C1E"/>
    <w:rsid w:val="00B06987"/>
    <w:rsid w:val="00B12ADA"/>
    <w:rsid w:val="00B137ED"/>
    <w:rsid w:val="00B15449"/>
    <w:rsid w:val="00B226C7"/>
    <w:rsid w:val="00B23FC5"/>
    <w:rsid w:val="00B30D17"/>
    <w:rsid w:val="00B30E18"/>
    <w:rsid w:val="00B31AF8"/>
    <w:rsid w:val="00B31EAB"/>
    <w:rsid w:val="00B3313E"/>
    <w:rsid w:val="00B34AF8"/>
    <w:rsid w:val="00B35701"/>
    <w:rsid w:val="00B3794F"/>
    <w:rsid w:val="00B40A30"/>
    <w:rsid w:val="00B40D79"/>
    <w:rsid w:val="00B418CD"/>
    <w:rsid w:val="00B42610"/>
    <w:rsid w:val="00B42970"/>
    <w:rsid w:val="00B43710"/>
    <w:rsid w:val="00B439C4"/>
    <w:rsid w:val="00B43A44"/>
    <w:rsid w:val="00B45561"/>
    <w:rsid w:val="00B45BF1"/>
    <w:rsid w:val="00B45F2F"/>
    <w:rsid w:val="00B5091E"/>
    <w:rsid w:val="00B509ED"/>
    <w:rsid w:val="00B521BD"/>
    <w:rsid w:val="00B52DD2"/>
    <w:rsid w:val="00B53303"/>
    <w:rsid w:val="00B54890"/>
    <w:rsid w:val="00B57A69"/>
    <w:rsid w:val="00B57EC0"/>
    <w:rsid w:val="00B6028B"/>
    <w:rsid w:val="00B60AF5"/>
    <w:rsid w:val="00B62C6F"/>
    <w:rsid w:val="00B62F65"/>
    <w:rsid w:val="00B66212"/>
    <w:rsid w:val="00B72A82"/>
    <w:rsid w:val="00B7661E"/>
    <w:rsid w:val="00B76CA8"/>
    <w:rsid w:val="00B76F6D"/>
    <w:rsid w:val="00B77756"/>
    <w:rsid w:val="00B81CF7"/>
    <w:rsid w:val="00B848D4"/>
    <w:rsid w:val="00B84C46"/>
    <w:rsid w:val="00B851D2"/>
    <w:rsid w:val="00B86EA0"/>
    <w:rsid w:val="00B9159B"/>
    <w:rsid w:val="00B918A8"/>
    <w:rsid w:val="00B92026"/>
    <w:rsid w:val="00B93086"/>
    <w:rsid w:val="00B94402"/>
    <w:rsid w:val="00B94FCE"/>
    <w:rsid w:val="00B9682C"/>
    <w:rsid w:val="00B97442"/>
    <w:rsid w:val="00B97F57"/>
    <w:rsid w:val="00BA1501"/>
    <w:rsid w:val="00BA19ED"/>
    <w:rsid w:val="00BA1B8A"/>
    <w:rsid w:val="00BA300B"/>
    <w:rsid w:val="00BA4B8D"/>
    <w:rsid w:val="00BA5966"/>
    <w:rsid w:val="00BB0B86"/>
    <w:rsid w:val="00BB13E8"/>
    <w:rsid w:val="00BB2412"/>
    <w:rsid w:val="00BB3EF4"/>
    <w:rsid w:val="00BC0F7D"/>
    <w:rsid w:val="00BC155B"/>
    <w:rsid w:val="00BC1C56"/>
    <w:rsid w:val="00BC3990"/>
    <w:rsid w:val="00BD25F6"/>
    <w:rsid w:val="00BD3F17"/>
    <w:rsid w:val="00BD4B06"/>
    <w:rsid w:val="00BD56A7"/>
    <w:rsid w:val="00BD5FE5"/>
    <w:rsid w:val="00BD6168"/>
    <w:rsid w:val="00BD6A42"/>
    <w:rsid w:val="00BD6C61"/>
    <w:rsid w:val="00BD7355"/>
    <w:rsid w:val="00BE0421"/>
    <w:rsid w:val="00BE3255"/>
    <w:rsid w:val="00BE3F0E"/>
    <w:rsid w:val="00BF128E"/>
    <w:rsid w:val="00BF1D0B"/>
    <w:rsid w:val="00BF41A6"/>
    <w:rsid w:val="00C013D6"/>
    <w:rsid w:val="00C03F8A"/>
    <w:rsid w:val="00C04C47"/>
    <w:rsid w:val="00C1194C"/>
    <w:rsid w:val="00C119FD"/>
    <w:rsid w:val="00C1496A"/>
    <w:rsid w:val="00C15897"/>
    <w:rsid w:val="00C246BA"/>
    <w:rsid w:val="00C260C6"/>
    <w:rsid w:val="00C27A92"/>
    <w:rsid w:val="00C27E8E"/>
    <w:rsid w:val="00C27F76"/>
    <w:rsid w:val="00C3104A"/>
    <w:rsid w:val="00C31091"/>
    <w:rsid w:val="00C33079"/>
    <w:rsid w:val="00C379D8"/>
    <w:rsid w:val="00C428A8"/>
    <w:rsid w:val="00C4354A"/>
    <w:rsid w:val="00C45231"/>
    <w:rsid w:val="00C50C74"/>
    <w:rsid w:val="00C5262E"/>
    <w:rsid w:val="00C5359F"/>
    <w:rsid w:val="00C5685D"/>
    <w:rsid w:val="00C60513"/>
    <w:rsid w:val="00C61D1C"/>
    <w:rsid w:val="00C62365"/>
    <w:rsid w:val="00C643EE"/>
    <w:rsid w:val="00C724F5"/>
    <w:rsid w:val="00C72833"/>
    <w:rsid w:val="00C73514"/>
    <w:rsid w:val="00C74AFF"/>
    <w:rsid w:val="00C776A4"/>
    <w:rsid w:val="00C77A33"/>
    <w:rsid w:val="00C80F1D"/>
    <w:rsid w:val="00C82550"/>
    <w:rsid w:val="00C87527"/>
    <w:rsid w:val="00C901CB"/>
    <w:rsid w:val="00C925D7"/>
    <w:rsid w:val="00C928B4"/>
    <w:rsid w:val="00C92F61"/>
    <w:rsid w:val="00C93F40"/>
    <w:rsid w:val="00C97F2B"/>
    <w:rsid w:val="00CA0BC6"/>
    <w:rsid w:val="00CA1C65"/>
    <w:rsid w:val="00CA3D0C"/>
    <w:rsid w:val="00CA3F1F"/>
    <w:rsid w:val="00CA4BE4"/>
    <w:rsid w:val="00CB45AB"/>
    <w:rsid w:val="00CB5B72"/>
    <w:rsid w:val="00CB66BA"/>
    <w:rsid w:val="00CC3BA1"/>
    <w:rsid w:val="00CC42C6"/>
    <w:rsid w:val="00CC5A27"/>
    <w:rsid w:val="00CC756D"/>
    <w:rsid w:val="00CC760C"/>
    <w:rsid w:val="00CD1191"/>
    <w:rsid w:val="00CD14E9"/>
    <w:rsid w:val="00CD4B25"/>
    <w:rsid w:val="00CD4BE0"/>
    <w:rsid w:val="00CD5226"/>
    <w:rsid w:val="00CD6FF5"/>
    <w:rsid w:val="00CD7B5B"/>
    <w:rsid w:val="00CE035B"/>
    <w:rsid w:val="00CE0F97"/>
    <w:rsid w:val="00CE7369"/>
    <w:rsid w:val="00CF20E3"/>
    <w:rsid w:val="00D00F2B"/>
    <w:rsid w:val="00D02F92"/>
    <w:rsid w:val="00D10B5C"/>
    <w:rsid w:val="00D10E89"/>
    <w:rsid w:val="00D14159"/>
    <w:rsid w:val="00D15BBA"/>
    <w:rsid w:val="00D16E5B"/>
    <w:rsid w:val="00D22D88"/>
    <w:rsid w:val="00D27884"/>
    <w:rsid w:val="00D30464"/>
    <w:rsid w:val="00D309CC"/>
    <w:rsid w:val="00D3351F"/>
    <w:rsid w:val="00D34E1E"/>
    <w:rsid w:val="00D35B3F"/>
    <w:rsid w:val="00D414E1"/>
    <w:rsid w:val="00D431B7"/>
    <w:rsid w:val="00D442AA"/>
    <w:rsid w:val="00D46431"/>
    <w:rsid w:val="00D468B9"/>
    <w:rsid w:val="00D46DF8"/>
    <w:rsid w:val="00D54B60"/>
    <w:rsid w:val="00D553ED"/>
    <w:rsid w:val="00D56A52"/>
    <w:rsid w:val="00D57972"/>
    <w:rsid w:val="00D60C50"/>
    <w:rsid w:val="00D6107D"/>
    <w:rsid w:val="00D645AF"/>
    <w:rsid w:val="00D65F45"/>
    <w:rsid w:val="00D671FD"/>
    <w:rsid w:val="00D675A9"/>
    <w:rsid w:val="00D738D6"/>
    <w:rsid w:val="00D7485F"/>
    <w:rsid w:val="00D755EB"/>
    <w:rsid w:val="00D77E92"/>
    <w:rsid w:val="00D80C1A"/>
    <w:rsid w:val="00D821E5"/>
    <w:rsid w:val="00D8602A"/>
    <w:rsid w:val="00D867DB"/>
    <w:rsid w:val="00D870E5"/>
    <w:rsid w:val="00D87812"/>
    <w:rsid w:val="00D87E00"/>
    <w:rsid w:val="00D907F9"/>
    <w:rsid w:val="00D9134D"/>
    <w:rsid w:val="00D91888"/>
    <w:rsid w:val="00D91D0F"/>
    <w:rsid w:val="00D91F07"/>
    <w:rsid w:val="00DA2BE3"/>
    <w:rsid w:val="00DA3BC8"/>
    <w:rsid w:val="00DA53EF"/>
    <w:rsid w:val="00DA62A4"/>
    <w:rsid w:val="00DA7A03"/>
    <w:rsid w:val="00DB12EC"/>
    <w:rsid w:val="00DB13D0"/>
    <w:rsid w:val="00DB1818"/>
    <w:rsid w:val="00DB2CFF"/>
    <w:rsid w:val="00DB42C3"/>
    <w:rsid w:val="00DB4E11"/>
    <w:rsid w:val="00DB5C15"/>
    <w:rsid w:val="00DB5D02"/>
    <w:rsid w:val="00DC1E80"/>
    <w:rsid w:val="00DC309B"/>
    <w:rsid w:val="00DC47A6"/>
    <w:rsid w:val="00DC4DA2"/>
    <w:rsid w:val="00DC516A"/>
    <w:rsid w:val="00DD089D"/>
    <w:rsid w:val="00DD45F1"/>
    <w:rsid w:val="00DD4C17"/>
    <w:rsid w:val="00DD5B05"/>
    <w:rsid w:val="00DD78E7"/>
    <w:rsid w:val="00DE1167"/>
    <w:rsid w:val="00DE2B8A"/>
    <w:rsid w:val="00DE306A"/>
    <w:rsid w:val="00DE6BE6"/>
    <w:rsid w:val="00DF2B1F"/>
    <w:rsid w:val="00DF5AD0"/>
    <w:rsid w:val="00DF5EE8"/>
    <w:rsid w:val="00DF6189"/>
    <w:rsid w:val="00DF62CD"/>
    <w:rsid w:val="00DF67C5"/>
    <w:rsid w:val="00DF74A8"/>
    <w:rsid w:val="00E003A9"/>
    <w:rsid w:val="00E022C8"/>
    <w:rsid w:val="00E033B1"/>
    <w:rsid w:val="00E06308"/>
    <w:rsid w:val="00E06ECF"/>
    <w:rsid w:val="00E12073"/>
    <w:rsid w:val="00E124D0"/>
    <w:rsid w:val="00E13876"/>
    <w:rsid w:val="00E142B7"/>
    <w:rsid w:val="00E14634"/>
    <w:rsid w:val="00E15622"/>
    <w:rsid w:val="00E16509"/>
    <w:rsid w:val="00E17392"/>
    <w:rsid w:val="00E17541"/>
    <w:rsid w:val="00E176F5"/>
    <w:rsid w:val="00E21BDD"/>
    <w:rsid w:val="00E2363F"/>
    <w:rsid w:val="00E24E3B"/>
    <w:rsid w:val="00E27B54"/>
    <w:rsid w:val="00E31772"/>
    <w:rsid w:val="00E34C44"/>
    <w:rsid w:val="00E36C47"/>
    <w:rsid w:val="00E374CA"/>
    <w:rsid w:val="00E40527"/>
    <w:rsid w:val="00E4160D"/>
    <w:rsid w:val="00E4203B"/>
    <w:rsid w:val="00E42938"/>
    <w:rsid w:val="00E441F3"/>
    <w:rsid w:val="00E44360"/>
    <w:rsid w:val="00E44582"/>
    <w:rsid w:val="00E445A2"/>
    <w:rsid w:val="00E4765D"/>
    <w:rsid w:val="00E477BE"/>
    <w:rsid w:val="00E507ED"/>
    <w:rsid w:val="00E52814"/>
    <w:rsid w:val="00E53B5D"/>
    <w:rsid w:val="00E54930"/>
    <w:rsid w:val="00E55B2C"/>
    <w:rsid w:val="00E56C84"/>
    <w:rsid w:val="00E56FFC"/>
    <w:rsid w:val="00E603C1"/>
    <w:rsid w:val="00E64EB8"/>
    <w:rsid w:val="00E65966"/>
    <w:rsid w:val="00E65AAE"/>
    <w:rsid w:val="00E67FF7"/>
    <w:rsid w:val="00E70295"/>
    <w:rsid w:val="00E71D42"/>
    <w:rsid w:val="00E72324"/>
    <w:rsid w:val="00E72ABE"/>
    <w:rsid w:val="00E75C1B"/>
    <w:rsid w:val="00E76BD1"/>
    <w:rsid w:val="00E77364"/>
    <w:rsid w:val="00E77645"/>
    <w:rsid w:val="00E803C2"/>
    <w:rsid w:val="00E80DE4"/>
    <w:rsid w:val="00E81E8F"/>
    <w:rsid w:val="00E82623"/>
    <w:rsid w:val="00E82BB1"/>
    <w:rsid w:val="00E8309B"/>
    <w:rsid w:val="00E879EE"/>
    <w:rsid w:val="00E92F48"/>
    <w:rsid w:val="00E94B98"/>
    <w:rsid w:val="00E9599A"/>
    <w:rsid w:val="00E9649F"/>
    <w:rsid w:val="00E97146"/>
    <w:rsid w:val="00EA4155"/>
    <w:rsid w:val="00EA6749"/>
    <w:rsid w:val="00EB161B"/>
    <w:rsid w:val="00EB22F4"/>
    <w:rsid w:val="00EB2FC2"/>
    <w:rsid w:val="00EB47FE"/>
    <w:rsid w:val="00EC1E93"/>
    <w:rsid w:val="00EC245A"/>
    <w:rsid w:val="00EC2729"/>
    <w:rsid w:val="00EC3517"/>
    <w:rsid w:val="00EC4A25"/>
    <w:rsid w:val="00EC6DC1"/>
    <w:rsid w:val="00ED1C22"/>
    <w:rsid w:val="00ED2846"/>
    <w:rsid w:val="00ED3052"/>
    <w:rsid w:val="00ED4894"/>
    <w:rsid w:val="00EE56AB"/>
    <w:rsid w:val="00EE5AA7"/>
    <w:rsid w:val="00EE5D8F"/>
    <w:rsid w:val="00EE74D3"/>
    <w:rsid w:val="00EF09B4"/>
    <w:rsid w:val="00EF4F19"/>
    <w:rsid w:val="00EF6895"/>
    <w:rsid w:val="00EF6984"/>
    <w:rsid w:val="00EF76F3"/>
    <w:rsid w:val="00EF7828"/>
    <w:rsid w:val="00F015A4"/>
    <w:rsid w:val="00F025A2"/>
    <w:rsid w:val="00F04712"/>
    <w:rsid w:val="00F10B1F"/>
    <w:rsid w:val="00F16DDC"/>
    <w:rsid w:val="00F209B1"/>
    <w:rsid w:val="00F21311"/>
    <w:rsid w:val="00F21980"/>
    <w:rsid w:val="00F220BD"/>
    <w:rsid w:val="00F221BE"/>
    <w:rsid w:val="00F22EC7"/>
    <w:rsid w:val="00F273D3"/>
    <w:rsid w:val="00F3035A"/>
    <w:rsid w:val="00F325C8"/>
    <w:rsid w:val="00F32778"/>
    <w:rsid w:val="00F34AD4"/>
    <w:rsid w:val="00F37628"/>
    <w:rsid w:val="00F402C7"/>
    <w:rsid w:val="00F40958"/>
    <w:rsid w:val="00F41CD7"/>
    <w:rsid w:val="00F42F72"/>
    <w:rsid w:val="00F465DF"/>
    <w:rsid w:val="00F4799F"/>
    <w:rsid w:val="00F47DB4"/>
    <w:rsid w:val="00F50F72"/>
    <w:rsid w:val="00F5450C"/>
    <w:rsid w:val="00F56D57"/>
    <w:rsid w:val="00F61B4D"/>
    <w:rsid w:val="00F62AEB"/>
    <w:rsid w:val="00F6521B"/>
    <w:rsid w:val="00F653B8"/>
    <w:rsid w:val="00F66303"/>
    <w:rsid w:val="00F70647"/>
    <w:rsid w:val="00F73852"/>
    <w:rsid w:val="00F7420E"/>
    <w:rsid w:val="00F77382"/>
    <w:rsid w:val="00F77710"/>
    <w:rsid w:val="00F851B0"/>
    <w:rsid w:val="00F86361"/>
    <w:rsid w:val="00F8688A"/>
    <w:rsid w:val="00F87FF5"/>
    <w:rsid w:val="00F92DB0"/>
    <w:rsid w:val="00F9377C"/>
    <w:rsid w:val="00F95CA0"/>
    <w:rsid w:val="00F95EDB"/>
    <w:rsid w:val="00F96804"/>
    <w:rsid w:val="00FA0D1A"/>
    <w:rsid w:val="00FA0DFF"/>
    <w:rsid w:val="00FA1266"/>
    <w:rsid w:val="00FA35E1"/>
    <w:rsid w:val="00FA7625"/>
    <w:rsid w:val="00FB1CFB"/>
    <w:rsid w:val="00FB2C76"/>
    <w:rsid w:val="00FB3529"/>
    <w:rsid w:val="00FB4364"/>
    <w:rsid w:val="00FB4C0B"/>
    <w:rsid w:val="00FB68AC"/>
    <w:rsid w:val="00FC1192"/>
    <w:rsid w:val="00FC346D"/>
    <w:rsid w:val="00FC371C"/>
    <w:rsid w:val="00FC5795"/>
    <w:rsid w:val="00FC59FD"/>
    <w:rsid w:val="00FC7334"/>
    <w:rsid w:val="00FD0D5A"/>
    <w:rsid w:val="00FD12FB"/>
    <w:rsid w:val="00FD2B0B"/>
    <w:rsid w:val="00FD324E"/>
    <w:rsid w:val="00FE63B0"/>
    <w:rsid w:val="00FF1AAD"/>
    <w:rsid w:val="00FF1BB0"/>
    <w:rsid w:val="00FF4E8E"/>
    <w:rsid w:val="00FF5898"/>
    <w:rsid w:val="00FF63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aliases w:val="Char,NMP Heading 1,H1,h1,app heading 1,l1,Memo Heading 1,h11,h12,h13,h14,h15,h16,h17,h111,h121,h131,h141,h151,h161,h18,h112,h122,h132,h142,h152,h162,h19,h113,h123,h133,h143,h153,h163,1,Section of paper,Heading 1_a,Huvudrubrik,heading 1,Titre§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link w:val="B1Char"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qFormat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  <w:style w:type="paragraph" w:styleId="ListParagraph">
    <w:name w:val="List Paragraph"/>
    <w:aliases w:val="- Bullets,?? ??,?????,????,リスト段落,Lista1,列出段落1,中等深浅网格 1 - 着色 21,列表段落,R4_bullets,列表段落1,—ño’i—Ž,¥¡¡¡¡ì¬º¥¹¥È¶ÎÂä,ÁÐ³ö¶ÎÂä,¥ê¥¹¥È¶ÎÂä,1st level - Bullet List Paragraph,Lettre d'introduction,Paragrafo elenco,Normal bullet 2,목록 단락"/>
    <w:basedOn w:val="Normal"/>
    <w:link w:val="ListParagraphChar"/>
    <w:uiPriority w:val="34"/>
    <w:qFormat/>
    <w:rsid w:val="006212AD"/>
    <w:pPr>
      <w:ind w:left="720"/>
      <w:contextualSpacing/>
    </w:pPr>
  </w:style>
  <w:style w:type="character" w:customStyle="1" w:styleId="ListParagraphChar">
    <w:name w:val="List Paragraph Char"/>
    <w:aliases w:val="- Bullets Char,?? ?? Char,????? Char,???? Char,リスト段落 Char,Lista1 Char,列出段落1 Char,中等深浅网格 1 - 着色 21 Char,列表段落 Char,R4_bullets Char,列表段落1 Char,—ño’i—Ž Char,¥¡¡¡¡ì¬º¥¹¥È¶ÎÂä Char,ÁÐ³ö¶ÎÂä Char,¥ê¥¹¥È¶ÎÂä Char,Lettre d'introduction Char"/>
    <w:link w:val="ListParagraph"/>
    <w:uiPriority w:val="34"/>
    <w:qFormat/>
    <w:locked/>
    <w:rsid w:val="00C74AFF"/>
    <w:rPr>
      <w:lang w:eastAsia="en-US"/>
    </w:rPr>
  </w:style>
  <w:style w:type="character" w:customStyle="1" w:styleId="TACChar">
    <w:name w:val="TAC Char"/>
    <w:link w:val="TAC"/>
    <w:qFormat/>
    <w:rsid w:val="00EE56AB"/>
    <w:rPr>
      <w:rFonts w:ascii="Arial" w:hAnsi="Arial"/>
      <w:sz w:val="18"/>
      <w:lang w:eastAsia="en-US"/>
    </w:rPr>
  </w:style>
  <w:style w:type="character" w:customStyle="1" w:styleId="THChar">
    <w:name w:val="TH Char"/>
    <w:link w:val="TH"/>
    <w:qFormat/>
    <w:rsid w:val="00EE56AB"/>
    <w:rPr>
      <w:rFonts w:ascii="Arial" w:hAnsi="Arial"/>
      <w:b/>
      <w:lang w:eastAsia="en-US"/>
    </w:rPr>
  </w:style>
  <w:style w:type="character" w:customStyle="1" w:styleId="TAHCar">
    <w:name w:val="TAH Car"/>
    <w:link w:val="TAH"/>
    <w:qFormat/>
    <w:rsid w:val="00EE56AB"/>
    <w:rPr>
      <w:rFonts w:ascii="Arial" w:hAnsi="Arial"/>
      <w:b/>
      <w:sz w:val="18"/>
      <w:lang w:eastAsia="en-US"/>
    </w:rPr>
  </w:style>
  <w:style w:type="character" w:styleId="FollowedHyperlink">
    <w:name w:val="FollowedHyperlink"/>
    <w:basedOn w:val="DefaultParagraphFont"/>
    <w:rsid w:val="006800C1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rsid w:val="00CC5A27"/>
    <w:rPr>
      <w:sz w:val="16"/>
      <w:szCs w:val="16"/>
    </w:rPr>
  </w:style>
  <w:style w:type="paragraph" w:styleId="CommentText">
    <w:name w:val="annotation text"/>
    <w:basedOn w:val="Normal"/>
    <w:link w:val="CommentTextChar"/>
    <w:rsid w:val="00CC5A27"/>
  </w:style>
  <w:style w:type="character" w:customStyle="1" w:styleId="CommentTextChar">
    <w:name w:val="Comment Text Char"/>
    <w:basedOn w:val="DefaultParagraphFont"/>
    <w:link w:val="CommentText"/>
    <w:rsid w:val="00CC5A27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CC5A27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CC5A27"/>
    <w:rPr>
      <w:b/>
      <w:bCs/>
      <w:lang w:eastAsia="en-US"/>
    </w:rPr>
  </w:style>
  <w:style w:type="paragraph" w:customStyle="1" w:styleId="CRCoverPage">
    <w:name w:val="CR Cover Page"/>
    <w:link w:val="CRCoverPageChar"/>
    <w:rsid w:val="00C50C74"/>
    <w:pPr>
      <w:spacing w:after="120"/>
    </w:pPr>
    <w:rPr>
      <w:rFonts w:ascii="Arial" w:eastAsiaTheme="minorEastAsia" w:hAnsi="Arial"/>
      <w:lang w:eastAsia="ko-KR"/>
    </w:rPr>
  </w:style>
  <w:style w:type="character" w:customStyle="1" w:styleId="CRCoverPageChar">
    <w:name w:val="CR Cover Page Char"/>
    <w:link w:val="CRCoverPage"/>
    <w:rsid w:val="00C50C74"/>
    <w:rPr>
      <w:rFonts w:ascii="Arial" w:eastAsiaTheme="minorEastAsia" w:hAnsi="Arial"/>
      <w:lang w:eastAsia="ko-KR"/>
    </w:rPr>
  </w:style>
  <w:style w:type="character" w:customStyle="1" w:styleId="TANChar">
    <w:name w:val="TAN Char"/>
    <w:link w:val="TAN"/>
    <w:qFormat/>
    <w:rsid w:val="0084144D"/>
    <w:rPr>
      <w:rFonts w:ascii="Arial" w:hAnsi="Arial"/>
      <w:sz w:val="18"/>
      <w:lang w:eastAsia="en-US"/>
    </w:rPr>
  </w:style>
  <w:style w:type="paragraph" w:customStyle="1" w:styleId="FL">
    <w:name w:val="FL"/>
    <w:basedOn w:val="Normal"/>
    <w:qFormat/>
    <w:rsid w:val="001B1440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MS Mincho" w:hAnsi="Arial"/>
      <w:b/>
      <w:lang w:eastAsia="en-GB"/>
    </w:rPr>
  </w:style>
  <w:style w:type="paragraph" w:styleId="NormalWeb">
    <w:name w:val="Normal (Web)"/>
    <w:basedOn w:val="Normal"/>
    <w:rsid w:val="00D867DB"/>
    <w:rPr>
      <w:sz w:val="24"/>
      <w:szCs w:val="24"/>
    </w:rPr>
  </w:style>
  <w:style w:type="character" w:customStyle="1" w:styleId="Heading1Char">
    <w:name w:val="Heading 1 Char"/>
    <w:aliases w:val="Char Char,NMP Heading 1 Char,H1 Char,h1 Char,app heading 1 Char,l1 Char,Memo Heading 1 Char,h11 Char,h12 Char,h13 Char,h14 Char,h15 Char,h16 Char,h17 Char,h111 Char,h121 Char,h131 Char,h141 Char,h151 Char,h161 Char,h18 Char,h112 Char"/>
    <w:basedOn w:val="DefaultParagraphFont"/>
    <w:link w:val="Heading1"/>
    <w:qFormat/>
    <w:rsid w:val="005041D3"/>
    <w:rPr>
      <w:rFonts w:ascii="Arial" w:hAnsi="Arial"/>
      <w:sz w:val="36"/>
      <w:lang w:eastAsia="en-US"/>
    </w:rPr>
  </w:style>
  <w:style w:type="character" w:customStyle="1" w:styleId="B1Char">
    <w:name w:val="B1 Char"/>
    <w:link w:val="B1"/>
    <w:rsid w:val="00FB4C0B"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431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69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10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530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203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48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527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27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707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276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699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01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523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6855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376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44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5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1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3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28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96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265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95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2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63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4390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78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0173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51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4572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5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30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26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458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129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03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42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446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footer" Target="footer2.xml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footer" Target="footer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emf"/><Relationship Id="rId37" Type="http://schemas.openxmlformats.org/officeDocument/2006/relationships/image" Target="media/image29.png"/><Relationship Id="rId40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emf"/><Relationship Id="rId44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fontTable" Target="fontTable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1517F5-6616-5C44-8C35-4B59ED9FA2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92</TotalTime>
  <Pages>8</Pages>
  <Words>1530</Words>
  <Characters>8727</Characters>
  <Application>Microsoft Office Word</Application>
  <DocSecurity>0</DocSecurity>
  <Lines>72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10237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Alexander Sayenko</cp:lastModifiedBy>
  <cp:revision>43</cp:revision>
  <cp:lastPrinted>2019-02-25T14:05:00Z</cp:lastPrinted>
  <dcterms:created xsi:type="dcterms:W3CDTF">2025-01-21T12:36:00Z</dcterms:created>
  <dcterms:modified xsi:type="dcterms:W3CDTF">2025-02-07T09:07:00Z</dcterms:modified>
  <cp:category/>
</cp:coreProperties>
</file>